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E077DA" w14:textId="065353C8" w:rsidR="00A70462" w:rsidRDefault="001F5537" w:rsidP="00A70462">
      <w:pPr>
        <w:spacing w:after="0" w:line="240" w:lineRule="auto"/>
        <w:jc w:val="center"/>
        <w:rPr>
          <w:rFonts w:ascii="Arial" w:eastAsia="Arial" w:hAnsi="Arial" w:cs="Arial"/>
          <w:b/>
          <w:sz w:val="24"/>
          <w:szCs w:val="24"/>
        </w:rPr>
      </w:pPr>
      <w:r w:rsidRPr="001F5537">
        <w:rPr>
          <w:rFonts w:ascii="Arial" w:eastAsia="Arial" w:hAnsi="Arial" w:cs="Arial"/>
          <w:b/>
          <w:noProof/>
          <w:sz w:val="24"/>
          <w:szCs w:val="24"/>
        </w:rPr>
        <mc:AlternateContent>
          <mc:Choice Requires="wps">
            <w:drawing>
              <wp:anchor distT="0" distB="0" distL="114300" distR="114300" simplePos="0" relativeHeight="251659264" behindDoc="0" locked="0" layoutInCell="1" allowOverlap="1" wp14:anchorId="474BC3C4" wp14:editId="35E7C6E1">
                <wp:simplePos x="0" y="0"/>
                <wp:positionH relativeFrom="column">
                  <wp:posOffset>4429457</wp:posOffset>
                </wp:positionH>
                <wp:positionV relativeFrom="paragraph">
                  <wp:posOffset>-816858</wp:posOffset>
                </wp:positionV>
                <wp:extent cx="1526374" cy="532738"/>
                <wp:effectExtent l="0" t="0" r="0" b="127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374" cy="532738"/>
                        </a:xfrm>
                        <a:prstGeom prst="rect">
                          <a:avLst/>
                        </a:prstGeom>
                        <a:solidFill>
                          <a:srgbClr val="FFFFFF"/>
                        </a:solidFill>
                        <a:ln w="9525">
                          <a:noFill/>
                          <a:miter lim="800000"/>
                          <a:headEnd/>
                          <a:tailEnd/>
                        </a:ln>
                      </wps:spPr>
                      <wps:txbx>
                        <w:txbxContent>
                          <w:p w14:paraId="16532BDC" w14:textId="5ADCE822" w:rsidR="001F5537" w:rsidRDefault="001F5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BC3C4" id="_x0000_t202" coordsize="21600,21600" o:spt="202" path="m,l,21600r21600,l21600,xe">
                <v:stroke joinstyle="miter"/>
                <v:path gradientshapeok="t" o:connecttype="rect"/>
              </v:shapetype>
              <v:shape id="Caixa de Texto 2" o:spid="_x0000_s1026" type="#_x0000_t202" style="position:absolute;left:0;text-align:left;margin-left:348.8pt;margin-top:-64.3pt;width:120.2pt;height:4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" stroked="f">
                <v:textbox>
                  <w:txbxContent>
                    <w:p w14:paraId="16532BDC" w14:textId="5ADCE822" w:rsidR="001F5537" w:rsidRDefault="001F5537"/>
                  </w:txbxContent>
                </v:textbox>
              </v:shape>
            </w:pict>
          </mc:Fallback>
        </mc:AlternateContent>
      </w:r>
      <w:r w:rsidR="00A70462">
        <w:rPr>
          <w:rFonts w:ascii="Arial" w:eastAsia="Arial" w:hAnsi="Arial" w:cs="Arial"/>
          <w:b/>
          <w:sz w:val="24"/>
          <w:szCs w:val="24"/>
        </w:rPr>
        <w:t>FACULDADE DE PATOS DE MINAS</w:t>
      </w:r>
    </w:p>
    <w:p w14:paraId="5162AEA6" w14:textId="77777777" w:rsidR="00A70462" w:rsidRDefault="00A70462" w:rsidP="00A70462">
      <w:pPr>
        <w:spacing w:after="0" w:line="240" w:lineRule="auto"/>
        <w:jc w:val="center"/>
        <w:rPr>
          <w:rFonts w:ascii="Arial" w:eastAsia="Arial" w:hAnsi="Arial" w:cs="Arial"/>
          <w:b/>
          <w:sz w:val="24"/>
          <w:szCs w:val="24"/>
        </w:rPr>
      </w:pPr>
      <w:r>
        <w:rPr>
          <w:rFonts w:ascii="Arial" w:eastAsia="Arial" w:hAnsi="Arial" w:cs="Arial"/>
          <w:b/>
          <w:sz w:val="24"/>
          <w:szCs w:val="24"/>
        </w:rPr>
        <w:t>GRADUAÇÃO EM ODONTOLOGIA</w:t>
      </w:r>
    </w:p>
    <w:p w14:paraId="51D308F2" w14:textId="77777777" w:rsidR="00A70462" w:rsidRDefault="00A70462" w:rsidP="00A70462">
      <w:pPr>
        <w:spacing w:after="0" w:line="240" w:lineRule="auto"/>
        <w:jc w:val="center"/>
        <w:rPr>
          <w:rFonts w:ascii="Arial" w:eastAsia="Arial" w:hAnsi="Arial" w:cs="Arial"/>
          <w:b/>
          <w:sz w:val="24"/>
          <w:szCs w:val="24"/>
        </w:rPr>
      </w:pPr>
    </w:p>
    <w:p w14:paraId="280B024F" w14:textId="77777777" w:rsidR="00A70462" w:rsidRDefault="00A70462" w:rsidP="00A70462">
      <w:pPr>
        <w:spacing w:after="0" w:line="240" w:lineRule="auto"/>
        <w:jc w:val="center"/>
        <w:rPr>
          <w:rFonts w:ascii="Arial" w:eastAsia="Arial" w:hAnsi="Arial" w:cs="Arial"/>
          <w:b/>
          <w:color w:val="000000"/>
          <w:sz w:val="24"/>
          <w:szCs w:val="24"/>
        </w:rPr>
      </w:pPr>
    </w:p>
    <w:p w14:paraId="496454BC" w14:textId="77777777" w:rsidR="00A70462" w:rsidRDefault="00A70462" w:rsidP="00A70462">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CARLOS VINICIUS CAETANO DIAS ORTEL</w:t>
      </w:r>
      <w:r w:rsidR="00E16FE5">
        <w:rPr>
          <w:rFonts w:ascii="Arial" w:eastAsia="Arial" w:hAnsi="Arial" w:cs="Arial"/>
          <w:b/>
          <w:color w:val="000000"/>
          <w:sz w:val="24"/>
          <w:szCs w:val="24"/>
        </w:rPr>
        <w:t>A</w:t>
      </w:r>
      <w:r>
        <w:rPr>
          <w:rFonts w:ascii="Arial" w:eastAsia="Arial" w:hAnsi="Arial" w:cs="Arial"/>
          <w:b/>
          <w:color w:val="000000"/>
          <w:sz w:val="24"/>
          <w:szCs w:val="24"/>
        </w:rPr>
        <w:t>N</w:t>
      </w:r>
    </w:p>
    <w:p w14:paraId="29138771" w14:textId="77777777" w:rsidR="00A70462" w:rsidRDefault="00A70462" w:rsidP="00A70462">
      <w:pPr>
        <w:spacing w:after="0" w:line="240" w:lineRule="auto"/>
        <w:jc w:val="center"/>
        <w:rPr>
          <w:sz w:val="24"/>
          <w:szCs w:val="24"/>
        </w:rPr>
      </w:pPr>
      <w:r>
        <w:rPr>
          <w:rFonts w:ascii="Arial" w:eastAsia="Arial" w:hAnsi="Arial" w:cs="Arial"/>
          <w:b/>
          <w:color w:val="000000"/>
          <w:sz w:val="24"/>
          <w:szCs w:val="24"/>
        </w:rPr>
        <w:t>JEAN RODRIGO PIMENTA MARIANO</w:t>
      </w:r>
    </w:p>
    <w:p w14:paraId="6D3FB70A" w14:textId="77777777" w:rsidR="00A70462" w:rsidRDefault="00A70462" w:rsidP="00A70462">
      <w:pPr>
        <w:spacing w:after="0" w:line="240" w:lineRule="auto"/>
        <w:jc w:val="center"/>
        <w:rPr>
          <w:rFonts w:ascii="Arial" w:eastAsia="Arial" w:hAnsi="Arial" w:cs="Arial"/>
          <w:b/>
          <w:color w:val="000000"/>
          <w:sz w:val="24"/>
          <w:szCs w:val="24"/>
        </w:rPr>
      </w:pPr>
    </w:p>
    <w:p w14:paraId="405DF54A" w14:textId="2073384C"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6F97FF0E"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3520C0DC"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44938CAA"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6B88404E" w14:textId="77777777" w:rsidR="00AD0367" w:rsidRDefault="00AD0367" w:rsidP="00AD0367">
      <w:pPr>
        <w:autoSpaceDE w:val="0"/>
        <w:autoSpaceDN w:val="0"/>
        <w:adjustRightInd w:val="0"/>
        <w:spacing w:after="0" w:line="240" w:lineRule="auto"/>
        <w:jc w:val="center"/>
        <w:rPr>
          <w:rFonts w:ascii="Arial" w:hAnsi="Arial" w:cs="Arial"/>
          <w:b/>
          <w:bCs/>
          <w:sz w:val="24"/>
          <w:szCs w:val="24"/>
        </w:rPr>
      </w:pPr>
    </w:p>
    <w:p w14:paraId="6517D56A"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5E631EB2"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1B9D6EAE"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01ABBECA"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34C2F9FD"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36FD3801"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2B5A47B8"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417E3104"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212B31C2" w14:textId="77777777" w:rsidR="00AD0367" w:rsidRDefault="00AD0367" w:rsidP="00AD0367">
      <w:pPr>
        <w:autoSpaceDE w:val="0"/>
        <w:autoSpaceDN w:val="0"/>
        <w:adjustRightInd w:val="0"/>
        <w:spacing w:after="0" w:line="240" w:lineRule="auto"/>
        <w:jc w:val="center"/>
        <w:rPr>
          <w:rFonts w:ascii="Arial" w:hAnsi="Arial" w:cs="Arial"/>
          <w:b/>
          <w:bCs/>
          <w:sz w:val="24"/>
          <w:szCs w:val="24"/>
        </w:rPr>
      </w:pPr>
    </w:p>
    <w:p w14:paraId="1120A803" w14:textId="77777777" w:rsidR="004D5CCC" w:rsidRDefault="004D5CCC" w:rsidP="00AD0367">
      <w:pPr>
        <w:autoSpaceDE w:val="0"/>
        <w:autoSpaceDN w:val="0"/>
        <w:adjustRightInd w:val="0"/>
        <w:spacing w:after="0" w:line="240" w:lineRule="auto"/>
        <w:jc w:val="center"/>
        <w:rPr>
          <w:rFonts w:ascii="Arial" w:hAnsi="Arial" w:cs="Arial"/>
          <w:b/>
          <w:bCs/>
          <w:sz w:val="24"/>
          <w:szCs w:val="24"/>
        </w:rPr>
      </w:pPr>
    </w:p>
    <w:p w14:paraId="2CDA27F9" w14:textId="77777777" w:rsidR="004D5CCC" w:rsidRPr="00444826" w:rsidRDefault="004D5CCC" w:rsidP="00AD0367">
      <w:pPr>
        <w:autoSpaceDE w:val="0"/>
        <w:autoSpaceDN w:val="0"/>
        <w:adjustRightInd w:val="0"/>
        <w:spacing w:after="0" w:line="240" w:lineRule="auto"/>
        <w:jc w:val="center"/>
        <w:rPr>
          <w:rFonts w:ascii="Arial" w:hAnsi="Arial" w:cs="Arial"/>
          <w:b/>
          <w:bCs/>
          <w:sz w:val="24"/>
          <w:szCs w:val="24"/>
        </w:rPr>
      </w:pPr>
    </w:p>
    <w:p w14:paraId="483C4DBA" w14:textId="77777777" w:rsidR="00A70462" w:rsidRDefault="00A70462" w:rsidP="00A70462">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ANÁLISE DA RESPOSTA IMUNOLÓGICA CONTRA O VÍRUS DA HEPATITE B EM PROFISSIONAIS DE SAÚDE DE UM HOSPITAL DE MINAS GERAIS.</w:t>
      </w:r>
    </w:p>
    <w:p w14:paraId="4C7EC358" w14:textId="77777777" w:rsidR="00AD0367" w:rsidRPr="00444826" w:rsidRDefault="00AD0367" w:rsidP="00AD0367">
      <w:pPr>
        <w:pStyle w:val="SemEspaamento"/>
        <w:jc w:val="center"/>
        <w:rPr>
          <w:rFonts w:ascii="Arial" w:hAnsi="Arial" w:cs="Arial"/>
          <w:b/>
          <w:sz w:val="24"/>
          <w:szCs w:val="24"/>
        </w:rPr>
      </w:pPr>
    </w:p>
    <w:p w14:paraId="3618DA97"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7286A19A"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31F28D7A"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412A56F7"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10570CD0"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76933B2F" w14:textId="3001B2CF"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0952800D"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3D071D82"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5503D333"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0ECA369A"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7E9D7B12" w14:textId="77777777" w:rsidR="00AD0367" w:rsidRDefault="00AD0367" w:rsidP="00AD0367">
      <w:pPr>
        <w:autoSpaceDE w:val="0"/>
        <w:autoSpaceDN w:val="0"/>
        <w:adjustRightInd w:val="0"/>
        <w:spacing w:after="0" w:line="240" w:lineRule="auto"/>
        <w:jc w:val="center"/>
        <w:rPr>
          <w:rFonts w:ascii="Arial" w:hAnsi="Arial" w:cs="Arial"/>
          <w:b/>
          <w:bCs/>
          <w:sz w:val="24"/>
          <w:szCs w:val="24"/>
        </w:rPr>
      </w:pPr>
    </w:p>
    <w:p w14:paraId="7A876C87" w14:textId="77777777" w:rsidR="00AD0367" w:rsidRDefault="00AD0367" w:rsidP="00AD0367">
      <w:pPr>
        <w:autoSpaceDE w:val="0"/>
        <w:autoSpaceDN w:val="0"/>
        <w:adjustRightInd w:val="0"/>
        <w:spacing w:after="0" w:line="240" w:lineRule="auto"/>
        <w:jc w:val="center"/>
        <w:rPr>
          <w:rFonts w:ascii="Arial" w:hAnsi="Arial" w:cs="Arial"/>
          <w:b/>
          <w:bCs/>
          <w:sz w:val="24"/>
          <w:szCs w:val="24"/>
        </w:rPr>
      </w:pPr>
    </w:p>
    <w:p w14:paraId="385B7526"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27AA0142"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3FFEFB45"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33FA6C0B"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290FC401"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5CDF2451"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77811BFA" w14:textId="77777777" w:rsidR="00AD0367" w:rsidRPr="00444826" w:rsidRDefault="00AD0367" w:rsidP="00AD0367">
      <w:pPr>
        <w:autoSpaceDE w:val="0"/>
        <w:autoSpaceDN w:val="0"/>
        <w:adjustRightInd w:val="0"/>
        <w:spacing w:after="0" w:line="240" w:lineRule="auto"/>
        <w:rPr>
          <w:rFonts w:ascii="Arial" w:hAnsi="Arial" w:cs="Arial"/>
          <w:b/>
          <w:bCs/>
          <w:sz w:val="24"/>
          <w:szCs w:val="24"/>
        </w:rPr>
      </w:pPr>
    </w:p>
    <w:p w14:paraId="2F1B3CE2" w14:textId="77777777" w:rsidR="00AD0367" w:rsidRPr="00444826" w:rsidRDefault="00AD0367" w:rsidP="00AD0367">
      <w:pPr>
        <w:autoSpaceDE w:val="0"/>
        <w:autoSpaceDN w:val="0"/>
        <w:adjustRightInd w:val="0"/>
        <w:spacing w:after="0" w:line="240" w:lineRule="auto"/>
        <w:rPr>
          <w:rFonts w:ascii="Arial" w:hAnsi="Arial" w:cs="Arial"/>
          <w:b/>
          <w:bCs/>
          <w:sz w:val="24"/>
          <w:szCs w:val="24"/>
        </w:rPr>
      </w:pPr>
    </w:p>
    <w:p w14:paraId="42FB75B4" w14:textId="77777777" w:rsidR="00AD0367" w:rsidRPr="00444826" w:rsidRDefault="00AD0367" w:rsidP="00AD0367">
      <w:pPr>
        <w:autoSpaceDE w:val="0"/>
        <w:autoSpaceDN w:val="0"/>
        <w:adjustRightInd w:val="0"/>
        <w:spacing w:after="0" w:line="240" w:lineRule="auto"/>
        <w:rPr>
          <w:rFonts w:ascii="Arial" w:hAnsi="Arial" w:cs="Arial"/>
          <w:b/>
          <w:bCs/>
          <w:sz w:val="24"/>
          <w:szCs w:val="24"/>
        </w:rPr>
      </w:pPr>
    </w:p>
    <w:p w14:paraId="43DF5ECB"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p>
    <w:p w14:paraId="6B447ADE" w14:textId="77777777" w:rsidR="00AD0367" w:rsidRPr="00444826" w:rsidRDefault="00AD0367" w:rsidP="00AD0367">
      <w:pPr>
        <w:autoSpaceDE w:val="0"/>
        <w:autoSpaceDN w:val="0"/>
        <w:adjustRightInd w:val="0"/>
        <w:spacing w:after="0" w:line="240" w:lineRule="auto"/>
        <w:jc w:val="center"/>
        <w:rPr>
          <w:rFonts w:ascii="Arial" w:hAnsi="Arial" w:cs="Arial"/>
          <w:b/>
          <w:bCs/>
          <w:sz w:val="24"/>
          <w:szCs w:val="24"/>
        </w:rPr>
      </w:pPr>
      <w:r w:rsidRPr="00444826">
        <w:rPr>
          <w:rFonts w:ascii="Arial" w:hAnsi="Arial" w:cs="Arial"/>
          <w:b/>
          <w:bCs/>
          <w:sz w:val="24"/>
          <w:szCs w:val="24"/>
        </w:rPr>
        <w:t>PATOS DE MINAS</w:t>
      </w:r>
    </w:p>
    <w:p w14:paraId="2EEC13C2" w14:textId="31BEB4BF" w:rsidR="00BC1E28" w:rsidRDefault="00A70462" w:rsidP="00BC1E28">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2020</w:t>
      </w:r>
      <w:r w:rsidR="00BC1E28">
        <w:rPr>
          <w:rFonts w:ascii="Arial" w:hAnsi="Arial" w:cs="Arial"/>
          <w:b/>
          <w:sz w:val="24"/>
          <w:szCs w:val="24"/>
        </w:rPr>
        <w:br w:type="page"/>
      </w:r>
    </w:p>
    <w:p w14:paraId="2501257F" w14:textId="6F9CDF4C" w:rsidR="004D5CCC" w:rsidRDefault="001F5537" w:rsidP="004D5CCC">
      <w:pPr>
        <w:spacing w:after="0" w:line="240" w:lineRule="auto"/>
        <w:jc w:val="center"/>
        <w:rPr>
          <w:rFonts w:ascii="Arial" w:eastAsia="Arial" w:hAnsi="Arial" w:cs="Arial"/>
          <w:b/>
          <w:color w:val="000000"/>
          <w:sz w:val="24"/>
          <w:szCs w:val="24"/>
        </w:rPr>
      </w:pPr>
      <w:r w:rsidRPr="001F5537">
        <w:rPr>
          <w:rFonts w:ascii="Arial" w:eastAsia="Arial" w:hAnsi="Arial" w:cs="Arial"/>
          <w:b/>
          <w:noProof/>
          <w:sz w:val="24"/>
          <w:szCs w:val="24"/>
        </w:rPr>
        <w:lastRenderedPageBreak/>
        <mc:AlternateContent>
          <mc:Choice Requires="wps">
            <w:drawing>
              <wp:anchor distT="0" distB="0" distL="114300" distR="114300" simplePos="0" relativeHeight="251661312" behindDoc="0" locked="0" layoutInCell="1" allowOverlap="1" wp14:anchorId="7D257770" wp14:editId="702F592C">
                <wp:simplePos x="0" y="0"/>
                <wp:positionH relativeFrom="column">
                  <wp:posOffset>5019040</wp:posOffset>
                </wp:positionH>
                <wp:positionV relativeFrom="paragraph">
                  <wp:posOffset>-767080</wp:posOffset>
                </wp:positionV>
                <wp:extent cx="1525905" cy="532130"/>
                <wp:effectExtent l="0" t="0" r="0" b="127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532130"/>
                        </a:xfrm>
                        <a:prstGeom prst="rect">
                          <a:avLst/>
                        </a:prstGeom>
                        <a:solidFill>
                          <a:srgbClr val="FFFFFF"/>
                        </a:solidFill>
                        <a:ln w="9525">
                          <a:noFill/>
                          <a:miter lim="800000"/>
                          <a:headEnd/>
                          <a:tailEnd/>
                        </a:ln>
                      </wps:spPr>
                      <wps:txbx>
                        <w:txbxContent>
                          <w:p w14:paraId="4C35867E" w14:textId="77777777" w:rsidR="001F5537" w:rsidRDefault="001F5537" w:rsidP="001F5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57770" id="_x0000_s1027" type="#_x0000_t202" style="position:absolute;left:0;text-align:left;margin-left:395.2pt;margin-top:-60.4pt;width:120.15pt;height:4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" stroked="f">
                <v:textbox>
                  <w:txbxContent>
                    <w:p w14:paraId="4C35867E" w14:textId="77777777" w:rsidR="001F5537" w:rsidRDefault="001F5537" w:rsidP="001F5537"/>
                  </w:txbxContent>
                </v:textbox>
              </v:shape>
            </w:pict>
          </mc:Fallback>
        </mc:AlternateContent>
      </w:r>
      <w:r w:rsidR="004D5CCC">
        <w:rPr>
          <w:rFonts w:ascii="Arial" w:eastAsia="Arial" w:hAnsi="Arial" w:cs="Arial"/>
          <w:b/>
          <w:color w:val="000000"/>
          <w:sz w:val="24"/>
          <w:szCs w:val="24"/>
        </w:rPr>
        <w:t>CARLOS VINICIUS CAETANO DIAS ORTELAN</w:t>
      </w:r>
    </w:p>
    <w:p w14:paraId="38082EA3" w14:textId="77777777" w:rsidR="004D5CCC" w:rsidRDefault="004D5CCC" w:rsidP="004D5CCC">
      <w:pPr>
        <w:spacing w:after="0" w:line="240" w:lineRule="auto"/>
        <w:jc w:val="center"/>
        <w:rPr>
          <w:sz w:val="24"/>
          <w:szCs w:val="24"/>
        </w:rPr>
      </w:pPr>
      <w:r>
        <w:rPr>
          <w:rFonts w:ascii="Arial" w:eastAsia="Arial" w:hAnsi="Arial" w:cs="Arial"/>
          <w:b/>
          <w:color w:val="000000"/>
          <w:sz w:val="24"/>
          <w:szCs w:val="24"/>
        </w:rPr>
        <w:t>JEAN RODRIGO PIMENTA MARIANO</w:t>
      </w:r>
    </w:p>
    <w:p w14:paraId="2CF1F137" w14:textId="77777777" w:rsidR="004D5CCC" w:rsidRDefault="004D5CCC" w:rsidP="004D5CCC">
      <w:pPr>
        <w:spacing w:after="0" w:line="240" w:lineRule="auto"/>
        <w:jc w:val="center"/>
        <w:rPr>
          <w:rFonts w:ascii="Arial" w:eastAsia="Arial" w:hAnsi="Arial" w:cs="Arial"/>
          <w:b/>
          <w:color w:val="000000"/>
          <w:sz w:val="24"/>
          <w:szCs w:val="24"/>
        </w:rPr>
      </w:pPr>
    </w:p>
    <w:p w14:paraId="58BFA831" w14:textId="77777777" w:rsidR="00AD0367" w:rsidRPr="00444826" w:rsidRDefault="00AD0367" w:rsidP="00AD0367">
      <w:pPr>
        <w:pStyle w:val="SemEspaamento"/>
        <w:jc w:val="center"/>
        <w:rPr>
          <w:rFonts w:ascii="Arial" w:hAnsi="Arial" w:cs="Arial"/>
          <w:b/>
          <w:sz w:val="24"/>
          <w:szCs w:val="24"/>
        </w:rPr>
      </w:pPr>
    </w:p>
    <w:p w14:paraId="4BA43824" w14:textId="77777777" w:rsidR="00AD0367" w:rsidRPr="00444826" w:rsidRDefault="00AD0367" w:rsidP="00AD0367">
      <w:pPr>
        <w:pStyle w:val="SemEspaamento"/>
        <w:jc w:val="center"/>
        <w:rPr>
          <w:rFonts w:ascii="Arial" w:hAnsi="Arial" w:cs="Arial"/>
          <w:b/>
          <w:sz w:val="24"/>
          <w:szCs w:val="24"/>
        </w:rPr>
      </w:pPr>
    </w:p>
    <w:p w14:paraId="760A9CD5" w14:textId="77777777" w:rsidR="00AD0367" w:rsidRPr="00444826" w:rsidRDefault="00AD0367" w:rsidP="00AD0367">
      <w:pPr>
        <w:pStyle w:val="SemEspaamento"/>
        <w:jc w:val="center"/>
        <w:rPr>
          <w:rFonts w:ascii="Arial" w:hAnsi="Arial" w:cs="Arial"/>
          <w:b/>
          <w:sz w:val="24"/>
          <w:szCs w:val="24"/>
        </w:rPr>
      </w:pPr>
    </w:p>
    <w:p w14:paraId="102F9CD4" w14:textId="77777777" w:rsidR="00AD0367" w:rsidRPr="00444826" w:rsidRDefault="00AD0367" w:rsidP="00AD0367">
      <w:pPr>
        <w:pStyle w:val="SemEspaamento"/>
        <w:jc w:val="center"/>
        <w:rPr>
          <w:rFonts w:ascii="Arial" w:hAnsi="Arial" w:cs="Arial"/>
          <w:b/>
          <w:sz w:val="24"/>
          <w:szCs w:val="24"/>
        </w:rPr>
      </w:pPr>
    </w:p>
    <w:p w14:paraId="0DA037D4" w14:textId="77777777" w:rsidR="00AD0367" w:rsidRPr="00444826" w:rsidRDefault="00AD0367" w:rsidP="00AD0367">
      <w:pPr>
        <w:pStyle w:val="SemEspaamento"/>
        <w:jc w:val="center"/>
        <w:rPr>
          <w:rFonts w:ascii="Arial" w:hAnsi="Arial" w:cs="Arial"/>
          <w:b/>
          <w:sz w:val="24"/>
          <w:szCs w:val="24"/>
        </w:rPr>
      </w:pPr>
    </w:p>
    <w:p w14:paraId="568A6614" w14:textId="4A62D8C0" w:rsidR="00AD0367" w:rsidRPr="00444826" w:rsidRDefault="00AD0367" w:rsidP="00AD0367">
      <w:pPr>
        <w:pStyle w:val="SemEspaamento"/>
        <w:jc w:val="center"/>
        <w:rPr>
          <w:rFonts w:ascii="Arial" w:hAnsi="Arial" w:cs="Arial"/>
          <w:b/>
          <w:sz w:val="24"/>
          <w:szCs w:val="24"/>
        </w:rPr>
      </w:pPr>
    </w:p>
    <w:p w14:paraId="167AF199" w14:textId="77777777" w:rsidR="00AD0367" w:rsidRPr="00444826" w:rsidRDefault="00AD0367" w:rsidP="00AD0367">
      <w:pPr>
        <w:pStyle w:val="SemEspaamento"/>
        <w:jc w:val="center"/>
        <w:rPr>
          <w:rFonts w:ascii="Arial" w:hAnsi="Arial" w:cs="Arial"/>
          <w:b/>
          <w:sz w:val="24"/>
          <w:szCs w:val="24"/>
        </w:rPr>
      </w:pPr>
    </w:p>
    <w:p w14:paraId="05933661" w14:textId="4A4C63C8" w:rsidR="00AD0367" w:rsidRPr="00444826" w:rsidRDefault="00AD0367" w:rsidP="00AD0367">
      <w:pPr>
        <w:pStyle w:val="SemEspaamento"/>
        <w:jc w:val="center"/>
        <w:rPr>
          <w:rFonts w:ascii="Arial" w:hAnsi="Arial" w:cs="Arial"/>
          <w:b/>
          <w:sz w:val="24"/>
          <w:szCs w:val="24"/>
        </w:rPr>
      </w:pPr>
    </w:p>
    <w:p w14:paraId="7B99D8C3" w14:textId="77777777" w:rsidR="00AD0367" w:rsidRPr="00444826" w:rsidRDefault="00AD0367" w:rsidP="00AD0367">
      <w:pPr>
        <w:pStyle w:val="SemEspaamento"/>
        <w:jc w:val="center"/>
        <w:rPr>
          <w:rFonts w:ascii="Arial" w:hAnsi="Arial" w:cs="Arial"/>
          <w:b/>
          <w:sz w:val="24"/>
          <w:szCs w:val="24"/>
        </w:rPr>
      </w:pPr>
    </w:p>
    <w:p w14:paraId="581DB383" w14:textId="77777777" w:rsidR="00AD0367" w:rsidRPr="00444826" w:rsidRDefault="00AD0367" w:rsidP="00AD0367">
      <w:pPr>
        <w:pStyle w:val="SemEspaamento"/>
        <w:jc w:val="center"/>
        <w:rPr>
          <w:rFonts w:ascii="Arial" w:hAnsi="Arial" w:cs="Arial"/>
          <w:b/>
          <w:sz w:val="24"/>
          <w:szCs w:val="24"/>
        </w:rPr>
      </w:pPr>
    </w:p>
    <w:p w14:paraId="067CA067" w14:textId="77777777" w:rsidR="00AD0367" w:rsidRPr="00444826" w:rsidRDefault="00AD0367" w:rsidP="00AD0367">
      <w:pPr>
        <w:pStyle w:val="SemEspaamento"/>
        <w:jc w:val="center"/>
        <w:rPr>
          <w:rFonts w:ascii="Arial" w:hAnsi="Arial" w:cs="Arial"/>
          <w:b/>
          <w:sz w:val="24"/>
          <w:szCs w:val="24"/>
        </w:rPr>
      </w:pPr>
    </w:p>
    <w:p w14:paraId="762253E6" w14:textId="77777777" w:rsidR="00AD0367" w:rsidRPr="00444826" w:rsidRDefault="00AD0367" w:rsidP="00AD0367">
      <w:pPr>
        <w:pStyle w:val="SemEspaamento"/>
        <w:jc w:val="center"/>
        <w:rPr>
          <w:rFonts w:ascii="Arial" w:hAnsi="Arial" w:cs="Arial"/>
          <w:b/>
          <w:sz w:val="24"/>
          <w:szCs w:val="24"/>
        </w:rPr>
      </w:pPr>
    </w:p>
    <w:p w14:paraId="1DF99F82" w14:textId="77777777" w:rsidR="00AD0367" w:rsidRPr="00444826" w:rsidRDefault="00AD0367" w:rsidP="00AD0367">
      <w:pPr>
        <w:pStyle w:val="SemEspaamento"/>
        <w:jc w:val="center"/>
        <w:rPr>
          <w:rFonts w:ascii="Arial" w:hAnsi="Arial" w:cs="Arial"/>
          <w:b/>
          <w:sz w:val="24"/>
          <w:szCs w:val="24"/>
        </w:rPr>
      </w:pPr>
    </w:p>
    <w:p w14:paraId="0C6908EF" w14:textId="77777777" w:rsidR="00AD0367" w:rsidRPr="00444826" w:rsidRDefault="00AD0367" w:rsidP="00AD0367">
      <w:pPr>
        <w:pStyle w:val="SemEspaamento"/>
        <w:jc w:val="center"/>
        <w:rPr>
          <w:rFonts w:ascii="Arial" w:hAnsi="Arial" w:cs="Arial"/>
          <w:b/>
          <w:sz w:val="24"/>
          <w:szCs w:val="24"/>
        </w:rPr>
      </w:pPr>
    </w:p>
    <w:p w14:paraId="34886FF9" w14:textId="77777777" w:rsidR="00AD0367" w:rsidRPr="00444826" w:rsidRDefault="00AD0367" w:rsidP="00AD0367">
      <w:pPr>
        <w:pStyle w:val="SemEspaamento"/>
        <w:jc w:val="center"/>
        <w:rPr>
          <w:rFonts w:ascii="Arial" w:hAnsi="Arial" w:cs="Arial"/>
          <w:b/>
          <w:sz w:val="24"/>
          <w:szCs w:val="24"/>
        </w:rPr>
      </w:pPr>
    </w:p>
    <w:p w14:paraId="713C714E" w14:textId="77777777" w:rsidR="00AD0367" w:rsidRDefault="00AD0367" w:rsidP="00AD0367">
      <w:pPr>
        <w:pStyle w:val="SemEspaamento"/>
        <w:jc w:val="center"/>
        <w:rPr>
          <w:rFonts w:ascii="Arial" w:hAnsi="Arial" w:cs="Arial"/>
          <w:b/>
          <w:sz w:val="24"/>
          <w:szCs w:val="24"/>
        </w:rPr>
      </w:pPr>
    </w:p>
    <w:p w14:paraId="36D3B2F9" w14:textId="77777777" w:rsidR="00B57FF5" w:rsidRDefault="00B57FF5" w:rsidP="00AD0367">
      <w:pPr>
        <w:pStyle w:val="SemEspaamento"/>
        <w:jc w:val="center"/>
        <w:rPr>
          <w:rFonts w:ascii="Arial" w:hAnsi="Arial" w:cs="Arial"/>
          <w:b/>
          <w:sz w:val="24"/>
          <w:szCs w:val="24"/>
        </w:rPr>
      </w:pPr>
    </w:p>
    <w:p w14:paraId="7285DB30" w14:textId="77777777" w:rsidR="00B57FF5" w:rsidRPr="00444826" w:rsidRDefault="00B57FF5" w:rsidP="00AD0367">
      <w:pPr>
        <w:pStyle w:val="SemEspaamento"/>
        <w:jc w:val="center"/>
        <w:rPr>
          <w:rFonts w:ascii="Arial" w:hAnsi="Arial" w:cs="Arial"/>
          <w:b/>
          <w:sz w:val="24"/>
          <w:szCs w:val="24"/>
        </w:rPr>
      </w:pPr>
    </w:p>
    <w:p w14:paraId="1436AD63" w14:textId="77777777" w:rsidR="00AD0367" w:rsidRPr="00444826" w:rsidRDefault="00AD0367" w:rsidP="00AD0367">
      <w:pPr>
        <w:pStyle w:val="SemEspaamento"/>
        <w:jc w:val="center"/>
        <w:rPr>
          <w:rFonts w:ascii="Arial" w:hAnsi="Arial" w:cs="Arial"/>
          <w:b/>
          <w:sz w:val="24"/>
          <w:szCs w:val="24"/>
        </w:rPr>
      </w:pPr>
    </w:p>
    <w:p w14:paraId="10A666A4" w14:textId="77777777" w:rsidR="00AD0367" w:rsidRPr="00444826" w:rsidRDefault="00AD0367" w:rsidP="00AD0367">
      <w:pPr>
        <w:pStyle w:val="SemEspaamento"/>
        <w:jc w:val="center"/>
        <w:rPr>
          <w:rFonts w:ascii="Arial" w:hAnsi="Arial" w:cs="Arial"/>
          <w:b/>
          <w:sz w:val="24"/>
          <w:szCs w:val="24"/>
        </w:rPr>
      </w:pPr>
    </w:p>
    <w:p w14:paraId="5ABC537B" w14:textId="77777777" w:rsidR="00A70462" w:rsidRDefault="00A70462" w:rsidP="00A70462">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ANÁLISE DA RESPOSTA IMUNOLÓGICA CONTRA O VÍRUS DA HEPATITE B EM PROFISSIONAIS DE SAÚDE DE UM HOSPITAL DE MINAS GERAIS.</w:t>
      </w:r>
    </w:p>
    <w:p w14:paraId="05DB6E7A" w14:textId="77777777" w:rsidR="00AD0367" w:rsidRPr="00444826" w:rsidRDefault="00AD0367" w:rsidP="00AD0367">
      <w:pPr>
        <w:pStyle w:val="SemEspaamento"/>
        <w:jc w:val="center"/>
        <w:rPr>
          <w:rFonts w:ascii="Arial" w:hAnsi="Arial" w:cs="Arial"/>
          <w:b/>
          <w:sz w:val="24"/>
          <w:szCs w:val="24"/>
        </w:rPr>
      </w:pPr>
    </w:p>
    <w:p w14:paraId="4E29FB29" w14:textId="77777777" w:rsidR="00AD0367" w:rsidRPr="00444826" w:rsidRDefault="00AD0367" w:rsidP="00AD0367">
      <w:pPr>
        <w:pStyle w:val="SemEspaamento"/>
        <w:jc w:val="center"/>
        <w:rPr>
          <w:rFonts w:ascii="Arial" w:hAnsi="Arial" w:cs="Arial"/>
          <w:b/>
          <w:sz w:val="24"/>
          <w:szCs w:val="24"/>
        </w:rPr>
      </w:pPr>
    </w:p>
    <w:p w14:paraId="3B95409E" w14:textId="77777777" w:rsidR="00AD0367" w:rsidRPr="00444826" w:rsidRDefault="00AD0367" w:rsidP="00AD0367">
      <w:pPr>
        <w:pStyle w:val="SemEspaamento"/>
        <w:jc w:val="center"/>
        <w:rPr>
          <w:rFonts w:ascii="Arial" w:hAnsi="Arial" w:cs="Arial"/>
          <w:b/>
          <w:sz w:val="24"/>
          <w:szCs w:val="24"/>
        </w:rPr>
      </w:pPr>
    </w:p>
    <w:p w14:paraId="67DCB660" w14:textId="040BB64D" w:rsidR="00AD0367" w:rsidRPr="00444826" w:rsidRDefault="00AD0367" w:rsidP="00AD0367">
      <w:pPr>
        <w:pStyle w:val="SemEspaamento"/>
        <w:ind w:left="4536"/>
        <w:jc w:val="both"/>
        <w:rPr>
          <w:rFonts w:ascii="Arial" w:hAnsi="Arial" w:cs="Arial"/>
          <w:sz w:val="24"/>
          <w:szCs w:val="24"/>
        </w:rPr>
      </w:pPr>
      <w:r w:rsidRPr="00444826">
        <w:rPr>
          <w:rFonts w:ascii="Arial" w:hAnsi="Arial" w:cs="Arial"/>
          <w:sz w:val="24"/>
          <w:szCs w:val="24"/>
        </w:rPr>
        <w:t>Trabalho</w:t>
      </w:r>
      <w:r w:rsidR="004D5CCC">
        <w:rPr>
          <w:rFonts w:ascii="Arial" w:hAnsi="Arial" w:cs="Arial"/>
          <w:sz w:val="24"/>
          <w:szCs w:val="24"/>
        </w:rPr>
        <w:t xml:space="preserve"> de Conclusão de Curso</w:t>
      </w:r>
      <w:r w:rsidRPr="00444826">
        <w:rPr>
          <w:rFonts w:ascii="Arial" w:hAnsi="Arial" w:cs="Arial"/>
          <w:sz w:val="24"/>
          <w:szCs w:val="24"/>
        </w:rPr>
        <w:t xml:space="preserve"> apresentado à Faculdade Patos de Minas, como requisito parcial para a conclusão de Graduação em</w:t>
      </w:r>
      <w:r w:rsidR="00191D35">
        <w:rPr>
          <w:rFonts w:ascii="Arial" w:hAnsi="Arial" w:cs="Arial"/>
          <w:sz w:val="24"/>
          <w:szCs w:val="24"/>
        </w:rPr>
        <w:t xml:space="preserve"> </w:t>
      </w:r>
      <w:r w:rsidR="00A70462">
        <w:rPr>
          <w:rFonts w:ascii="Arial" w:hAnsi="Arial" w:cs="Arial"/>
          <w:sz w:val="24"/>
          <w:szCs w:val="24"/>
        </w:rPr>
        <w:t>Odontologia.</w:t>
      </w:r>
    </w:p>
    <w:p w14:paraId="194D7DEF" w14:textId="77777777" w:rsidR="00AD0367" w:rsidRPr="00444826" w:rsidRDefault="00AD0367" w:rsidP="00AD0367">
      <w:pPr>
        <w:pStyle w:val="SemEspaamento"/>
        <w:ind w:left="4536"/>
        <w:jc w:val="both"/>
        <w:rPr>
          <w:rFonts w:ascii="Arial" w:hAnsi="Arial" w:cs="Arial"/>
          <w:sz w:val="24"/>
          <w:szCs w:val="24"/>
        </w:rPr>
      </w:pPr>
    </w:p>
    <w:p w14:paraId="4CE4F35E" w14:textId="77777777" w:rsidR="00AD0367" w:rsidRPr="00444826" w:rsidRDefault="00AD0367" w:rsidP="00AD0367">
      <w:pPr>
        <w:pStyle w:val="SemEspaamento"/>
        <w:ind w:left="4536"/>
        <w:jc w:val="both"/>
        <w:rPr>
          <w:rFonts w:ascii="Arial" w:hAnsi="Arial" w:cs="Arial"/>
          <w:sz w:val="24"/>
          <w:szCs w:val="24"/>
        </w:rPr>
      </w:pPr>
    </w:p>
    <w:p w14:paraId="06594A2C" w14:textId="3FCBAF2A" w:rsidR="00AD0367" w:rsidRPr="00444826" w:rsidRDefault="00AD0367" w:rsidP="00AD0367">
      <w:pPr>
        <w:pStyle w:val="SemEspaamento"/>
        <w:ind w:left="4536"/>
        <w:jc w:val="both"/>
        <w:rPr>
          <w:rFonts w:ascii="Arial" w:hAnsi="Arial" w:cs="Arial"/>
          <w:sz w:val="24"/>
          <w:szCs w:val="24"/>
        </w:rPr>
      </w:pPr>
      <w:r w:rsidRPr="00444826">
        <w:rPr>
          <w:rFonts w:ascii="Arial" w:hAnsi="Arial" w:cs="Arial"/>
          <w:sz w:val="24"/>
          <w:szCs w:val="24"/>
        </w:rPr>
        <w:t>Orientador:</w:t>
      </w:r>
      <w:r w:rsidR="00191D35">
        <w:rPr>
          <w:rFonts w:ascii="Arial" w:hAnsi="Arial" w:cs="Arial"/>
          <w:sz w:val="24"/>
          <w:szCs w:val="24"/>
        </w:rPr>
        <w:t xml:space="preserve"> </w:t>
      </w:r>
      <w:r w:rsidR="00917813">
        <w:rPr>
          <w:rFonts w:ascii="Arial" w:hAnsi="Arial" w:cs="Arial"/>
          <w:sz w:val="24"/>
          <w:szCs w:val="24"/>
        </w:rPr>
        <w:t>Esp</w:t>
      </w:r>
      <w:r w:rsidR="00886538">
        <w:rPr>
          <w:rFonts w:ascii="Arial" w:hAnsi="Arial" w:cs="Arial"/>
          <w:sz w:val="24"/>
          <w:szCs w:val="24"/>
        </w:rPr>
        <w:t>.</w:t>
      </w:r>
      <w:r w:rsidR="00191D35">
        <w:rPr>
          <w:rFonts w:ascii="Arial" w:hAnsi="Arial" w:cs="Arial"/>
          <w:sz w:val="24"/>
          <w:szCs w:val="24"/>
        </w:rPr>
        <w:t xml:space="preserve"> </w:t>
      </w:r>
      <w:r w:rsidR="00A70462">
        <w:rPr>
          <w:rFonts w:ascii="Arial" w:hAnsi="Arial" w:cs="Arial"/>
          <w:sz w:val="24"/>
          <w:szCs w:val="24"/>
        </w:rPr>
        <w:t>Alexandre Ferreira Costa Vianna</w:t>
      </w:r>
    </w:p>
    <w:p w14:paraId="2A7F387A" w14:textId="77777777" w:rsidR="00AD0367" w:rsidRPr="00444826" w:rsidRDefault="00AD0367" w:rsidP="00AD0367">
      <w:pPr>
        <w:pStyle w:val="SemEspaamento"/>
        <w:ind w:left="4536"/>
        <w:jc w:val="both"/>
        <w:rPr>
          <w:rFonts w:ascii="Arial" w:hAnsi="Arial" w:cs="Arial"/>
          <w:sz w:val="24"/>
          <w:szCs w:val="24"/>
        </w:rPr>
      </w:pPr>
    </w:p>
    <w:p w14:paraId="6DA66687" w14:textId="77777777" w:rsidR="00AD0367" w:rsidRPr="00444826" w:rsidRDefault="00AD0367" w:rsidP="00AD0367">
      <w:pPr>
        <w:pStyle w:val="SemEspaamento"/>
        <w:ind w:left="4536"/>
        <w:jc w:val="both"/>
        <w:rPr>
          <w:rFonts w:ascii="Arial" w:hAnsi="Arial" w:cs="Arial"/>
          <w:sz w:val="24"/>
          <w:szCs w:val="24"/>
        </w:rPr>
      </w:pPr>
    </w:p>
    <w:p w14:paraId="23B82A74" w14:textId="77777777" w:rsidR="00AD0367" w:rsidRPr="00444826" w:rsidRDefault="00AD0367" w:rsidP="00AD0367">
      <w:pPr>
        <w:pStyle w:val="SemEspaamento"/>
        <w:ind w:left="4536"/>
        <w:jc w:val="both"/>
        <w:rPr>
          <w:rFonts w:ascii="Arial" w:hAnsi="Arial" w:cs="Arial"/>
          <w:sz w:val="24"/>
          <w:szCs w:val="24"/>
        </w:rPr>
      </w:pPr>
    </w:p>
    <w:p w14:paraId="6B415CB6" w14:textId="77777777" w:rsidR="00AD0367" w:rsidRPr="00444826" w:rsidRDefault="00AD0367" w:rsidP="00AD0367">
      <w:pPr>
        <w:pStyle w:val="SemEspaamento"/>
        <w:jc w:val="both"/>
        <w:rPr>
          <w:rFonts w:ascii="Arial" w:hAnsi="Arial" w:cs="Arial"/>
          <w:sz w:val="24"/>
          <w:szCs w:val="24"/>
        </w:rPr>
      </w:pPr>
    </w:p>
    <w:p w14:paraId="458E9147" w14:textId="77777777" w:rsidR="00AD0367" w:rsidRDefault="00AD0367" w:rsidP="00AD0367">
      <w:pPr>
        <w:pStyle w:val="SemEspaamento"/>
        <w:ind w:left="4536"/>
        <w:jc w:val="both"/>
        <w:rPr>
          <w:rFonts w:ascii="Arial" w:hAnsi="Arial" w:cs="Arial"/>
          <w:sz w:val="24"/>
          <w:szCs w:val="24"/>
        </w:rPr>
      </w:pPr>
    </w:p>
    <w:p w14:paraId="09681EA6" w14:textId="77777777" w:rsidR="00AD0367" w:rsidRDefault="00AD0367" w:rsidP="00AD0367">
      <w:pPr>
        <w:pStyle w:val="SemEspaamento"/>
        <w:ind w:left="4536"/>
        <w:jc w:val="both"/>
        <w:rPr>
          <w:rFonts w:ascii="Arial" w:hAnsi="Arial" w:cs="Arial"/>
          <w:sz w:val="24"/>
          <w:szCs w:val="24"/>
        </w:rPr>
      </w:pPr>
    </w:p>
    <w:p w14:paraId="7A6C6F36" w14:textId="77777777" w:rsidR="00AD0367" w:rsidRDefault="00AD0367" w:rsidP="00AD0367">
      <w:pPr>
        <w:pStyle w:val="SemEspaamento"/>
        <w:ind w:left="4536"/>
        <w:jc w:val="both"/>
        <w:rPr>
          <w:rFonts w:ascii="Arial" w:hAnsi="Arial" w:cs="Arial"/>
          <w:sz w:val="24"/>
          <w:szCs w:val="24"/>
        </w:rPr>
      </w:pPr>
    </w:p>
    <w:p w14:paraId="2CF37191" w14:textId="77777777" w:rsidR="00AD0367" w:rsidRDefault="00AD0367" w:rsidP="00AD0367">
      <w:pPr>
        <w:pStyle w:val="SemEspaamento"/>
        <w:ind w:left="4536"/>
        <w:jc w:val="both"/>
        <w:rPr>
          <w:rFonts w:ascii="Arial" w:hAnsi="Arial" w:cs="Arial"/>
          <w:sz w:val="24"/>
          <w:szCs w:val="24"/>
        </w:rPr>
      </w:pPr>
    </w:p>
    <w:p w14:paraId="12588066" w14:textId="77777777" w:rsidR="00AD0367" w:rsidRDefault="00AD0367" w:rsidP="00AD0367">
      <w:pPr>
        <w:pStyle w:val="SemEspaamento"/>
        <w:ind w:left="4536"/>
        <w:jc w:val="both"/>
        <w:rPr>
          <w:rFonts w:ascii="Arial" w:hAnsi="Arial" w:cs="Arial"/>
          <w:sz w:val="24"/>
          <w:szCs w:val="24"/>
        </w:rPr>
      </w:pPr>
    </w:p>
    <w:p w14:paraId="68428FC9" w14:textId="77777777" w:rsidR="00B57FF5" w:rsidRDefault="00B57FF5" w:rsidP="00AD0367">
      <w:pPr>
        <w:pStyle w:val="SemEspaamento"/>
        <w:ind w:left="4536"/>
        <w:jc w:val="both"/>
        <w:rPr>
          <w:rFonts w:ascii="Arial" w:hAnsi="Arial" w:cs="Arial"/>
          <w:sz w:val="24"/>
          <w:szCs w:val="24"/>
        </w:rPr>
      </w:pPr>
    </w:p>
    <w:p w14:paraId="5C92FDD7" w14:textId="77777777" w:rsidR="00B57FF5" w:rsidRDefault="00B57FF5" w:rsidP="00AD0367">
      <w:pPr>
        <w:pStyle w:val="SemEspaamento"/>
        <w:ind w:left="4536"/>
        <w:jc w:val="both"/>
        <w:rPr>
          <w:rFonts w:ascii="Arial" w:hAnsi="Arial" w:cs="Arial"/>
          <w:sz w:val="24"/>
          <w:szCs w:val="24"/>
        </w:rPr>
      </w:pPr>
    </w:p>
    <w:p w14:paraId="0E21098F" w14:textId="77777777" w:rsidR="00AD0367" w:rsidRPr="00444826" w:rsidRDefault="00AD0367" w:rsidP="00AD0367">
      <w:pPr>
        <w:pStyle w:val="SemEspaamento"/>
        <w:ind w:left="4536"/>
        <w:jc w:val="both"/>
        <w:rPr>
          <w:rFonts w:ascii="Arial" w:hAnsi="Arial" w:cs="Arial"/>
          <w:sz w:val="24"/>
          <w:szCs w:val="24"/>
        </w:rPr>
      </w:pPr>
    </w:p>
    <w:p w14:paraId="24786E5F" w14:textId="77777777" w:rsidR="00AD0367" w:rsidRPr="00444826" w:rsidRDefault="00AD0367" w:rsidP="00AD0367">
      <w:pPr>
        <w:pStyle w:val="SemEspaamento"/>
        <w:jc w:val="center"/>
        <w:rPr>
          <w:rFonts w:ascii="Arial" w:hAnsi="Arial" w:cs="Arial"/>
          <w:b/>
          <w:sz w:val="24"/>
          <w:szCs w:val="24"/>
        </w:rPr>
      </w:pPr>
      <w:r w:rsidRPr="00444826">
        <w:rPr>
          <w:rFonts w:ascii="Arial" w:hAnsi="Arial" w:cs="Arial"/>
          <w:b/>
          <w:sz w:val="24"/>
          <w:szCs w:val="24"/>
        </w:rPr>
        <w:t>PATOS DE MINAS</w:t>
      </w:r>
    </w:p>
    <w:p w14:paraId="3B2EE790" w14:textId="77777777" w:rsidR="00AD0367" w:rsidRPr="00444826" w:rsidRDefault="00AD0367" w:rsidP="00AD0367">
      <w:pPr>
        <w:pStyle w:val="SemEspaamento"/>
        <w:jc w:val="center"/>
        <w:rPr>
          <w:rFonts w:ascii="Arial" w:hAnsi="Arial" w:cs="Arial"/>
          <w:b/>
          <w:sz w:val="24"/>
          <w:szCs w:val="24"/>
        </w:rPr>
      </w:pPr>
      <w:r w:rsidRPr="00444826">
        <w:rPr>
          <w:rFonts w:ascii="Arial" w:hAnsi="Arial" w:cs="Arial"/>
          <w:b/>
          <w:sz w:val="24"/>
          <w:szCs w:val="24"/>
        </w:rPr>
        <w:t>20</w:t>
      </w:r>
      <w:r w:rsidR="00A70462">
        <w:rPr>
          <w:rFonts w:ascii="Arial" w:hAnsi="Arial" w:cs="Arial"/>
          <w:b/>
          <w:sz w:val="24"/>
          <w:szCs w:val="24"/>
        </w:rPr>
        <w:t>20</w:t>
      </w:r>
      <w:r w:rsidRPr="00444826">
        <w:rPr>
          <w:rFonts w:ascii="Arial" w:hAnsi="Arial" w:cs="Arial"/>
          <w:b/>
          <w:sz w:val="24"/>
          <w:szCs w:val="24"/>
        </w:rPr>
        <w:br w:type="page"/>
      </w:r>
    </w:p>
    <w:p w14:paraId="40962185" w14:textId="72A5156A" w:rsidR="00AD0367" w:rsidRDefault="001F5537" w:rsidP="0091714C">
      <w:pPr>
        <w:pStyle w:val="SemEspaamento"/>
        <w:jc w:val="center"/>
        <w:rPr>
          <w:rFonts w:ascii="Arial" w:hAnsi="Arial" w:cs="Arial"/>
          <w:b/>
          <w:sz w:val="24"/>
          <w:szCs w:val="24"/>
        </w:rPr>
      </w:pPr>
      <w:r w:rsidRPr="001F5537">
        <w:rPr>
          <w:rFonts w:ascii="Arial" w:eastAsia="Arial" w:hAnsi="Arial" w:cs="Arial"/>
          <w:b/>
          <w:noProof/>
          <w:sz w:val="24"/>
          <w:szCs w:val="24"/>
        </w:rPr>
        <w:lastRenderedPageBreak/>
        <mc:AlternateContent>
          <mc:Choice Requires="wps">
            <w:drawing>
              <wp:anchor distT="0" distB="0" distL="114300" distR="114300" simplePos="0" relativeHeight="251656192" behindDoc="0" locked="0" layoutInCell="1" allowOverlap="1" wp14:anchorId="66B2F526" wp14:editId="579038AE">
                <wp:simplePos x="0" y="0"/>
                <wp:positionH relativeFrom="column">
                  <wp:posOffset>4845050</wp:posOffset>
                </wp:positionH>
                <wp:positionV relativeFrom="paragraph">
                  <wp:posOffset>-805815</wp:posOffset>
                </wp:positionV>
                <wp:extent cx="1525905" cy="532130"/>
                <wp:effectExtent l="0" t="0" r="0" b="127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532130"/>
                        </a:xfrm>
                        <a:prstGeom prst="rect">
                          <a:avLst/>
                        </a:prstGeom>
                        <a:solidFill>
                          <a:srgbClr val="FFFFFF"/>
                        </a:solidFill>
                        <a:ln w="9525">
                          <a:noFill/>
                          <a:miter lim="800000"/>
                          <a:headEnd/>
                          <a:tailEnd/>
                        </a:ln>
                      </wps:spPr>
                      <wps:txbx>
                        <w:txbxContent>
                          <w:p w14:paraId="5D02FB1C" w14:textId="77777777" w:rsidR="001F5537" w:rsidRDefault="001F5537" w:rsidP="001F5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2F526" id="_x0000_s1028" type="#_x0000_t202" style="position:absolute;left:0;text-align:left;margin-left:381.5pt;margin-top:-63.45pt;width:120.15pt;height:4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" stroked="f">
                <v:textbox>
                  <w:txbxContent>
                    <w:p w14:paraId="5D02FB1C" w14:textId="77777777" w:rsidR="001F5537" w:rsidRDefault="001F5537" w:rsidP="001F5537"/>
                  </w:txbxContent>
                </v:textbox>
              </v:shape>
            </w:pict>
          </mc:Fallback>
        </mc:AlternateContent>
      </w:r>
      <w:r w:rsidRPr="001F5537">
        <w:rPr>
          <w:rFonts w:ascii="Arial" w:eastAsia="Arial" w:hAnsi="Arial" w:cs="Arial"/>
          <w:b/>
          <w:noProof/>
          <w:sz w:val="24"/>
          <w:szCs w:val="24"/>
        </w:rPr>
        <mc:AlternateContent>
          <mc:Choice Requires="wps">
            <w:drawing>
              <wp:anchor distT="0" distB="0" distL="114300" distR="114300" simplePos="0" relativeHeight="251657216" behindDoc="0" locked="0" layoutInCell="1" allowOverlap="1" wp14:anchorId="19F1464F" wp14:editId="4247465B">
                <wp:simplePos x="0" y="0"/>
                <wp:positionH relativeFrom="column">
                  <wp:posOffset>4997450</wp:posOffset>
                </wp:positionH>
                <wp:positionV relativeFrom="paragraph">
                  <wp:posOffset>-693420</wp:posOffset>
                </wp:positionV>
                <wp:extent cx="1525905" cy="532130"/>
                <wp:effectExtent l="0" t="0" r="0" b="127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532130"/>
                        </a:xfrm>
                        <a:prstGeom prst="rect">
                          <a:avLst/>
                        </a:prstGeom>
                        <a:solidFill>
                          <a:srgbClr val="FFFFFF"/>
                        </a:solidFill>
                        <a:ln w="9525">
                          <a:noFill/>
                          <a:miter lim="800000"/>
                          <a:headEnd/>
                          <a:tailEnd/>
                        </a:ln>
                      </wps:spPr>
                      <wps:txbx>
                        <w:txbxContent>
                          <w:p w14:paraId="2A0FD13F" w14:textId="77777777" w:rsidR="001F5537" w:rsidRDefault="001F5537" w:rsidP="001F5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1464F" id="_x0000_s1029" type="#_x0000_t202" style="position:absolute;left:0;text-align:left;margin-left:393.5pt;margin-top:-54.6pt;width:120.15pt;height:4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" stroked="f">
                <v:textbox>
                  <w:txbxContent>
                    <w:p w14:paraId="2A0FD13F" w14:textId="77777777" w:rsidR="001F5537" w:rsidRDefault="001F5537" w:rsidP="001F5537"/>
                  </w:txbxContent>
                </v:textbox>
              </v:shape>
            </w:pict>
          </mc:Fallback>
        </mc:AlternateContent>
      </w:r>
      <w:r w:rsidR="00AD0367">
        <w:rPr>
          <w:rFonts w:ascii="Arial" w:hAnsi="Arial" w:cs="Arial"/>
          <w:b/>
          <w:sz w:val="24"/>
          <w:szCs w:val="24"/>
        </w:rPr>
        <w:t>A</w:t>
      </w:r>
      <w:r w:rsidR="00746772">
        <w:rPr>
          <w:rFonts w:ascii="Arial" w:hAnsi="Arial" w:cs="Arial"/>
          <w:b/>
          <w:sz w:val="24"/>
          <w:szCs w:val="24"/>
        </w:rPr>
        <w:t>GRADECIMENTOS</w:t>
      </w:r>
    </w:p>
    <w:p w14:paraId="42F75276" w14:textId="77777777" w:rsidR="00746772" w:rsidRDefault="00746772" w:rsidP="00220AAC">
      <w:pPr>
        <w:jc w:val="center"/>
        <w:rPr>
          <w:rFonts w:ascii="Arial" w:hAnsi="Arial" w:cs="Arial"/>
          <w:b/>
          <w:sz w:val="24"/>
          <w:szCs w:val="24"/>
        </w:rPr>
      </w:pPr>
    </w:p>
    <w:p w14:paraId="2DB31D95" w14:textId="3CD19086" w:rsidR="003D57EC" w:rsidRPr="00746772" w:rsidRDefault="00470106" w:rsidP="00746772">
      <w:pPr>
        <w:spacing w:line="360" w:lineRule="auto"/>
        <w:jc w:val="both"/>
        <w:rPr>
          <w:rFonts w:ascii="Arial" w:hAnsi="Arial" w:cs="Arial"/>
          <w:bCs/>
          <w:sz w:val="24"/>
          <w:szCs w:val="24"/>
        </w:rPr>
      </w:pPr>
      <w:r w:rsidRPr="00746772">
        <w:rPr>
          <w:rFonts w:ascii="Arial" w:hAnsi="Arial" w:cs="Arial"/>
          <w:bCs/>
          <w:sz w:val="24"/>
          <w:szCs w:val="24"/>
        </w:rPr>
        <w:t>Agradeço primeiramente a Deus por tudo que fez para chegarmos até aqui e também a todos os nossos professores, familiares e amigos gratidão pel</w:t>
      </w:r>
      <w:r w:rsidR="00746772">
        <w:rPr>
          <w:rFonts w:ascii="Arial" w:hAnsi="Arial" w:cs="Arial"/>
          <w:bCs/>
          <w:sz w:val="24"/>
          <w:szCs w:val="24"/>
        </w:rPr>
        <w:t>o</w:t>
      </w:r>
      <w:r w:rsidRPr="00746772">
        <w:rPr>
          <w:rFonts w:ascii="Arial" w:hAnsi="Arial" w:cs="Arial"/>
          <w:bCs/>
          <w:sz w:val="24"/>
          <w:szCs w:val="24"/>
        </w:rPr>
        <w:t xml:space="preserve"> </w:t>
      </w:r>
      <w:r w:rsidR="00746772">
        <w:rPr>
          <w:rFonts w:ascii="Arial" w:hAnsi="Arial" w:cs="Arial"/>
          <w:bCs/>
          <w:sz w:val="24"/>
          <w:szCs w:val="24"/>
        </w:rPr>
        <w:t>incentivo</w:t>
      </w:r>
      <w:r w:rsidRPr="00746772">
        <w:rPr>
          <w:rFonts w:ascii="Arial" w:hAnsi="Arial" w:cs="Arial"/>
          <w:bCs/>
          <w:sz w:val="24"/>
          <w:szCs w:val="24"/>
        </w:rPr>
        <w:t xml:space="preserve"> e carinho.</w:t>
      </w:r>
    </w:p>
    <w:p w14:paraId="318A2953" w14:textId="77777777" w:rsidR="003D57EC" w:rsidRDefault="003D57EC" w:rsidP="00746772">
      <w:pPr>
        <w:jc w:val="both"/>
        <w:rPr>
          <w:rFonts w:ascii="Arial" w:hAnsi="Arial" w:cs="Arial"/>
          <w:b/>
          <w:sz w:val="24"/>
          <w:szCs w:val="24"/>
        </w:rPr>
      </w:pPr>
    </w:p>
    <w:p w14:paraId="0C54B40E" w14:textId="1A37A7EF" w:rsidR="003D57EC" w:rsidRDefault="003D57EC" w:rsidP="00746772">
      <w:pPr>
        <w:jc w:val="both"/>
        <w:rPr>
          <w:rFonts w:ascii="Arial" w:hAnsi="Arial" w:cs="Arial"/>
          <w:b/>
          <w:sz w:val="24"/>
          <w:szCs w:val="24"/>
        </w:rPr>
      </w:pPr>
    </w:p>
    <w:p w14:paraId="5A90B784" w14:textId="77777777" w:rsidR="00AD0367" w:rsidRDefault="00AD0367" w:rsidP="00AD0367">
      <w:pPr>
        <w:pStyle w:val="SemEspaamento"/>
        <w:jc w:val="center"/>
        <w:rPr>
          <w:rFonts w:ascii="Arial" w:hAnsi="Arial" w:cs="Arial"/>
          <w:b/>
          <w:sz w:val="24"/>
          <w:szCs w:val="24"/>
        </w:rPr>
      </w:pPr>
    </w:p>
    <w:p w14:paraId="7CDD38BD" w14:textId="77777777" w:rsidR="00AD0367" w:rsidRDefault="00AD0367" w:rsidP="00AD0367">
      <w:pPr>
        <w:pStyle w:val="SemEspaamento"/>
        <w:jc w:val="center"/>
        <w:rPr>
          <w:rFonts w:ascii="Arial" w:hAnsi="Arial" w:cs="Arial"/>
          <w:b/>
          <w:sz w:val="24"/>
          <w:szCs w:val="24"/>
        </w:rPr>
      </w:pPr>
    </w:p>
    <w:p w14:paraId="4DD6992E" w14:textId="0BB4CAB5" w:rsidR="00AD0367" w:rsidRDefault="00AD0367" w:rsidP="00AD0367">
      <w:pPr>
        <w:pStyle w:val="SemEspaamento"/>
        <w:jc w:val="center"/>
        <w:rPr>
          <w:rFonts w:ascii="Arial" w:hAnsi="Arial" w:cs="Arial"/>
          <w:b/>
          <w:sz w:val="24"/>
          <w:szCs w:val="24"/>
        </w:rPr>
      </w:pPr>
    </w:p>
    <w:p w14:paraId="3CBF508E" w14:textId="77777777" w:rsidR="00AD0367" w:rsidRDefault="00AD0367" w:rsidP="00AD0367">
      <w:pPr>
        <w:pStyle w:val="SemEspaamento"/>
        <w:jc w:val="center"/>
        <w:rPr>
          <w:rFonts w:ascii="Arial" w:hAnsi="Arial" w:cs="Arial"/>
          <w:b/>
          <w:sz w:val="24"/>
          <w:szCs w:val="24"/>
        </w:rPr>
      </w:pPr>
    </w:p>
    <w:p w14:paraId="12821F12" w14:textId="77777777" w:rsidR="00AD0367" w:rsidRDefault="00AD0367" w:rsidP="00AD0367">
      <w:pPr>
        <w:pStyle w:val="SemEspaamento"/>
        <w:jc w:val="center"/>
        <w:rPr>
          <w:rFonts w:ascii="Arial" w:hAnsi="Arial" w:cs="Arial"/>
          <w:b/>
          <w:sz w:val="24"/>
          <w:szCs w:val="24"/>
        </w:rPr>
      </w:pPr>
    </w:p>
    <w:p w14:paraId="24EEB3F5" w14:textId="77777777" w:rsidR="00AD0367" w:rsidRDefault="00AD0367" w:rsidP="00AD0367">
      <w:pPr>
        <w:pStyle w:val="SemEspaamento"/>
        <w:jc w:val="center"/>
        <w:rPr>
          <w:rFonts w:ascii="Arial" w:hAnsi="Arial" w:cs="Arial"/>
          <w:b/>
          <w:sz w:val="24"/>
          <w:szCs w:val="24"/>
        </w:rPr>
      </w:pPr>
    </w:p>
    <w:p w14:paraId="747A7D3E" w14:textId="77777777" w:rsidR="00AD0367" w:rsidRDefault="00AD0367" w:rsidP="00AD0367">
      <w:pPr>
        <w:pStyle w:val="SemEspaamento"/>
        <w:jc w:val="center"/>
        <w:rPr>
          <w:rFonts w:ascii="Arial" w:hAnsi="Arial" w:cs="Arial"/>
          <w:b/>
          <w:sz w:val="24"/>
          <w:szCs w:val="24"/>
        </w:rPr>
      </w:pPr>
    </w:p>
    <w:p w14:paraId="1A23990E" w14:textId="77777777" w:rsidR="00AD0367" w:rsidRDefault="00AD0367" w:rsidP="00AD0367">
      <w:pPr>
        <w:pStyle w:val="SemEspaamento"/>
        <w:jc w:val="center"/>
        <w:rPr>
          <w:rFonts w:ascii="Arial" w:hAnsi="Arial" w:cs="Arial"/>
          <w:b/>
          <w:sz w:val="24"/>
          <w:szCs w:val="24"/>
        </w:rPr>
      </w:pPr>
    </w:p>
    <w:p w14:paraId="62B3665B" w14:textId="77777777" w:rsidR="00AD0367" w:rsidRDefault="00AD0367" w:rsidP="00AD0367">
      <w:pPr>
        <w:pStyle w:val="SemEspaamento"/>
        <w:jc w:val="center"/>
        <w:rPr>
          <w:rFonts w:ascii="Arial" w:hAnsi="Arial" w:cs="Arial"/>
          <w:b/>
          <w:sz w:val="24"/>
          <w:szCs w:val="24"/>
        </w:rPr>
      </w:pPr>
    </w:p>
    <w:p w14:paraId="176A9AB6" w14:textId="77777777" w:rsidR="00AD0367" w:rsidRDefault="00AD0367" w:rsidP="00AD0367">
      <w:pPr>
        <w:pStyle w:val="SemEspaamento"/>
        <w:jc w:val="center"/>
        <w:rPr>
          <w:rFonts w:ascii="Arial" w:hAnsi="Arial" w:cs="Arial"/>
          <w:b/>
          <w:sz w:val="24"/>
          <w:szCs w:val="24"/>
        </w:rPr>
      </w:pPr>
    </w:p>
    <w:p w14:paraId="6FBDEFF0" w14:textId="77777777" w:rsidR="00AD0367" w:rsidRDefault="00AD0367" w:rsidP="00AD0367">
      <w:pPr>
        <w:pStyle w:val="SemEspaamento"/>
        <w:jc w:val="center"/>
        <w:rPr>
          <w:rFonts w:ascii="Arial" w:hAnsi="Arial" w:cs="Arial"/>
          <w:b/>
          <w:sz w:val="24"/>
          <w:szCs w:val="24"/>
        </w:rPr>
      </w:pPr>
    </w:p>
    <w:p w14:paraId="64AAB063" w14:textId="77777777" w:rsidR="00AD0367" w:rsidRDefault="00AD0367" w:rsidP="00AD0367">
      <w:pPr>
        <w:pStyle w:val="SemEspaamento"/>
        <w:jc w:val="center"/>
        <w:rPr>
          <w:rFonts w:ascii="Arial" w:hAnsi="Arial" w:cs="Arial"/>
          <w:b/>
          <w:sz w:val="24"/>
          <w:szCs w:val="24"/>
        </w:rPr>
      </w:pPr>
    </w:p>
    <w:p w14:paraId="033DBCE1" w14:textId="77777777" w:rsidR="00AD0367" w:rsidRDefault="00AD0367" w:rsidP="00AD0367">
      <w:pPr>
        <w:pStyle w:val="SemEspaamento"/>
        <w:jc w:val="center"/>
        <w:rPr>
          <w:rFonts w:ascii="Arial" w:hAnsi="Arial" w:cs="Arial"/>
          <w:b/>
          <w:sz w:val="24"/>
          <w:szCs w:val="24"/>
        </w:rPr>
      </w:pPr>
    </w:p>
    <w:p w14:paraId="7283C154" w14:textId="77777777" w:rsidR="00AD0367" w:rsidRDefault="00AD0367" w:rsidP="00AD0367">
      <w:pPr>
        <w:pStyle w:val="SemEspaamento"/>
        <w:jc w:val="center"/>
        <w:rPr>
          <w:rFonts w:ascii="Arial" w:hAnsi="Arial" w:cs="Arial"/>
          <w:b/>
          <w:sz w:val="24"/>
          <w:szCs w:val="24"/>
        </w:rPr>
      </w:pPr>
    </w:p>
    <w:p w14:paraId="439C9932" w14:textId="77777777" w:rsidR="00AD0367" w:rsidRDefault="00AD0367" w:rsidP="00AD0367">
      <w:pPr>
        <w:pStyle w:val="SemEspaamento"/>
        <w:jc w:val="center"/>
        <w:rPr>
          <w:rFonts w:ascii="Arial" w:hAnsi="Arial" w:cs="Arial"/>
          <w:b/>
          <w:sz w:val="24"/>
          <w:szCs w:val="24"/>
        </w:rPr>
      </w:pPr>
    </w:p>
    <w:p w14:paraId="69ADF04C" w14:textId="77777777" w:rsidR="00AD0367" w:rsidRDefault="00AD0367" w:rsidP="00AD0367">
      <w:pPr>
        <w:pStyle w:val="SemEspaamento"/>
        <w:jc w:val="center"/>
        <w:rPr>
          <w:rFonts w:ascii="Arial" w:hAnsi="Arial" w:cs="Arial"/>
          <w:b/>
          <w:sz w:val="24"/>
          <w:szCs w:val="24"/>
        </w:rPr>
      </w:pPr>
    </w:p>
    <w:p w14:paraId="50E88B58" w14:textId="77777777" w:rsidR="00AD0367" w:rsidRPr="00444826" w:rsidRDefault="00AD0367" w:rsidP="00AD0367">
      <w:pPr>
        <w:pStyle w:val="SemEspaamento"/>
        <w:jc w:val="center"/>
        <w:rPr>
          <w:rFonts w:ascii="Arial" w:hAnsi="Arial" w:cs="Arial"/>
          <w:b/>
          <w:sz w:val="24"/>
          <w:szCs w:val="24"/>
        </w:rPr>
      </w:pPr>
    </w:p>
    <w:p w14:paraId="043692DA" w14:textId="77777777" w:rsidR="00AD0367" w:rsidRPr="00444826" w:rsidRDefault="00AD0367" w:rsidP="00AD0367">
      <w:pPr>
        <w:rPr>
          <w:rFonts w:ascii="Arial" w:eastAsiaTheme="minorEastAsia" w:hAnsi="Arial" w:cs="Arial"/>
          <w:b/>
          <w:sz w:val="24"/>
          <w:szCs w:val="24"/>
          <w:lang w:eastAsia="pt-BR"/>
        </w:rPr>
      </w:pPr>
      <w:r w:rsidRPr="00444826">
        <w:rPr>
          <w:rFonts w:ascii="Arial" w:hAnsi="Arial" w:cs="Arial"/>
          <w:b/>
          <w:sz w:val="24"/>
          <w:szCs w:val="24"/>
        </w:rPr>
        <w:br w:type="page"/>
      </w:r>
    </w:p>
    <w:p w14:paraId="3CAC6D8B" w14:textId="729E3F47" w:rsidR="00AD0367" w:rsidRDefault="001F5537" w:rsidP="00AD0367">
      <w:pPr>
        <w:pStyle w:val="SemEspaamento"/>
        <w:jc w:val="center"/>
        <w:rPr>
          <w:rFonts w:ascii="Arial" w:hAnsi="Arial" w:cs="Arial"/>
          <w:b/>
          <w:sz w:val="24"/>
          <w:szCs w:val="24"/>
        </w:rPr>
      </w:pPr>
      <w:r w:rsidRPr="001F5537">
        <w:rPr>
          <w:rFonts w:ascii="Arial" w:eastAsia="Arial" w:hAnsi="Arial" w:cs="Arial"/>
          <w:b/>
          <w:noProof/>
          <w:sz w:val="24"/>
          <w:szCs w:val="24"/>
        </w:rPr>
        <w:lastRenderedPageBreak/>
        <mc:AlternateContent>
          <mc:Choice Requires="wps">
            <w:drawing>
              <wp:anchor distT="0" distB="0" distL="114300" distR="114300" simplePos="0" relativeHeight="251658240" behindDoc="0" locked="0" layoutInCell="1" allowOverlap="1" wp14:anchorId="6480E196" wp14:editId="48F733CC">
                <wp:simplePos x="0" y="0"/>
                <wp:positionH relativeFrom="column">
                  <wp:posOffset>4942840</wp:posOffset>
                </wp:positionH>
                <wp:positionV relativeFrom="paragraph">
                  <wp:posOffset>-763905</wp:posOffset>
                </wp:positionV>
                <wp:extent cx="1525905" cy="532130"/>
                <wp:effectExtent l="0" t="0" r="0" b="127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532130"/>
                        </a:xfrm>
                        <a:prstGeom prst="rect">
                          <a:avLst/>
                        </a:prstGeom>
                        <a:solidFill>
                          <a:srgbClr val="FFFFFF"/>
                        </a:solidFill>
                        <a:ln w="9525">
                          <a:noFill/>
                          <a:miter lim="800000"/>
                          <a:headEnd/>
                          <a:tailEnd/>
                        </a:ln>
                      </wps:spPr>
                      <wps:txbx>
                        <w:txbxContent>
                          <w:p w14:paraId="7E1C580D" w14:textId="77777777" w:rsidR="001F5537" w:rsidRDefault="001F5537" w:rsidP="001F5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0E196" id="_x0000_s1030" type="#_x0000_t202" style="position:absolute;left:0;text-align:left;margin-left:389.2pt;margin-top:-60.15pt;width:120.15pt;height:4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" stroked="f">
                <v:textbox>
                  <w:txbxContent>
                    <w:p w14:paraId="7E1C580D" w14:textId="77777777" w:rsidR="001F5537" w:rsidRDefault="001F5537" w:rsidP="001F5537"/>
                  </w:txbxContent>
                </v:textbox>
              </v:shape>
            </w:pict>
          </mc:Fallback>
        </mc:AlternateContent>
      </w:r>
    </w:p>
    <w:p w14:paraId="3DF337C0" w14:textId="3CA51657" w:rsidR="00AD0367" w:rsidRDefault="00AD0367" w:rsidP="00AD0367">
      <w:pPr>
        <w:pStyle w:val="SemEspaamento"/>
        <w:jc w:val="center"/>
        <w:rPr>
          <w:rFonts w:ascii="Arial" w:hAnsi="Arial" w:cs="Arial"/>
          <w:b/>
          <w:sz w:val="24"/>
          <w:szCs w:val="24"/>
        </w:rPr>
      </w:pPr>
    </w:p>
    <w:p w14:paraId="36AE9AD1" w14:textId="77777777" w:rsidR="00AD0367" w:rsidRDefault="00AD0367" w:rsidP="00AD0367">
      <w:pPr>
        <w:pStyle w:val="SemEspaamento"/>
        <w:jc w:val="center"/>
        <w:rPr>
          <w:rFonts w:ascii="Arial" w:hAnsi="Arial" w:cs="Arial"/>
          <w:b/>
          <w:sz w:val="24"/>
          <w:szCs w:val="24"/>
        </w:rPr>
      </w:pPr>
    </w:p>
    <w:p w14:paraId="63760423" w14:textId="77777777" w:rsidR="00AD0367" w:rsidRDefault="00AD0367" w:rsidP="00AD0367">
      <w:pPr>
        <w:pStyle w:val="SemEspaamento"/>
        <w:jc w:val="center"/>
        <w:rPr>
          <w:rFonts w:ascii="Arial" w:hAnsi="Arial" w:cs="Arial"/>
          <w:b/>
          <w:sz w:val="24"/>
          <w:szCs w:val="24"/>
        </w:rPr>
      </w:pPr>
    </w:p>
    <w:p w14:paraId="4189A61B" w14:textId="77777777" w:rsidR="00AD0367" w:rsidRDefault="00AD0367" w:rsidP="00AD0367">
      <w:pPr>
        <w:pStyle w:val="SemEspaamento"/>
        <w:jc w:val="center"/>
        <w:rPr>
          <w:rFonts w:ascii="Arial" w:hAnsi="Arial" w:cs="Arial"/>
          <w:b/>
          <w:sz w:val="24"/>
          <w:szCs w:val="24"/>
        </w:rPr>
      </w:pPr>
    </w:p>
    <w:p w14:paraId="58B62928" w14:textId="77777777" w:rsidR="00AD0367" w:rsidRDefault="00AD0367" w:rsidP="00AD0367">
      <w:pPr>
        <w:pStyle w:val="SemEspaamento"/>
        <w:jc w:val="center"/>
        <w:rPr>
          <w:rFonts w:ascii="Arial" w:hAnsi="Arial" w:cs="Arial"/>
          <w:b/>
          <w:sz w:val="24"/>
          <w:szCs w:val="24"/>
        </w:rPr>
      </w:pPr>
    </w:p>
    <w:p w14:paraId="5F55CB15" w14:textId="77777777" w:rsidR="00AD0367" w:rsidRDefault="00AD0367" w:rsidP="00AD0367">
      <w:pPr>
        <w:pStyle w:val="SemEspaamento"/>
        <w:jc w:val="center"/>
        <w:rPr>
          <w:rFonts w:ascii="Arial" w:hAnsi="Arial" w:cs="Arial"/>
          <w:b/>
          <w:sz w:val="24"/>
          <w:szCs w:val="24"/>
        </w:rPr>
      </w:pPr>
    </w:p>
    <w:p w14:paraId="795CBF84" w14:textId="67ECB99F" w:rsidR="00AD0367" w:rsidRDefault="00AD0367" w:rsidP="00AD0367">
      <w:pPr>
        <w:pStyle w:val="SemEspaamento"/>
        <w:jc w:val="center"/>
        <w:rPr>
          <w:rFonts w:ascii="Arial" w:hAnsi="Arial" w:cs="Arial"/>
          <w:b/>
          <w:sz w:val="24"/>
          <w:szCs w:val="24"/>
        </w:rPr>
      </w:pPr>
    </w:p>
    <w:p w14:paraId="762C1174" w14:textId="77777777" w:rsidR="00AD0367" w:rsidRDefault="00AD0367" w:rsidP="00AD0367">
      <w:pPr>
        <w:pStyle w:val="SemEspaamento"/>
        <w:jc w:val="center"/>
        <w:rPr>
          <w:rFonts w:ascii="Arial" w:hAnsi="Arial" w:cs="Arial"/>
          <w:b/>
          <w:sz w:val="24"/>
          <w:szCs w:val="24"/>
        </w:rPr>
      </w:pPr>
    </w:p>
    <w:p w14:paraId="13A67B91" w14:textId="77777777" w:rsidR="00AD0367" w:rsidRDefault="00AD0367" w:rsidP="00AD0367">
      <w:pPr>
        <w:pStyle w:val="SemEspaamento"/>
        <w:jc w:val="center"/>
        <w:rPr>
          <w:rFonts w:ascii="Arial" w:hAnsi="Arial" w:cs="Arial"/>
          <w:b/>
          <w:sz w:val="24"/>
          <w:szCs w:val="24"/>
        </w:rPr>
      </w:pPr>
    </w:p>
    <w:p w14:paraId="74DF16DB" w14:textId="77777777" w:rsidR="00AD0367" w:rsidRDefault="00AD0367" w:rsidP="00AD0367">
      <w:pPr>
        <w:pStyle w:val="SemEspaamento"/>
        <w:jc w:val="center"/>
        <w:rPr>
          <w:rFonts w:ascii="Arial" w:hAnsi="Arial" w:cs="Arial"/>
          <w:b/>
          <w:sz w:val="24"/>
          <w:szCs w:val="24"/>
        </w:rPr>
      </w:pPr>
    </w:p>
    <w:p w14:paraId="2D7CBDB4" w14:textId="77777777" w:rsidR="00AD0367" w:rsidRDefault="00AD0367" w:rsidP="00AD0367">
      <w:pPr>
        <w:pStyle w:val="SemEspaamento"/>
        <w:jc w:val="center"/>
        <w:rPr>
          <w:rFonts w:ascii="Arial" w:hAnsi="Arial" w:cs="Arial"/>
          <w:b/>
          <w:sz w:val="24"/>
          <w:szCs w:val="24"/>
        </w:rPr>
      </w:pPr>
    </w:p>
    <w:p w14:paraId="25867CD5" w14:textId="62ED73AC" w:rsidR="00AD0367" w:rsidRDefault="00AD0367" w:rsidP="00AD0367">
      <w:pPr>
        <w:pStyle w:val="SemEspaamento"/>
        <w:jc w:val="center"/>
        <w:rPr>
          <w:rFonts w:ascii="Arial" w:hAnsi="Arial" w:cs="Arial"/>
          <w:b/>
          <w:sz w:val="24"/>
          <w:szCs w:val="24"/>
        </w:rPr>
      </w:pPr>
    </w:p>
    <w:p w14:paraId="336FB412" w14:textId="77777777" w:rsidR="00AD0367" w:rsidRDefault="00AD0367" w:rsidP="00AD0367">
      <w:pPr>
        <w:pStyle w:val="SemEspaamento"/>
        <w:jc w:val="center"/>
        <w:rPr>
          <w:rFonts w:ascii="Arial" w:hAnsi="Arial" w:cs="Arial"/>
          <w:b/>
          <w:sz w:val="24"/>
          <w:szCs w:val="24"/>
        </w:rPr>
      </w:pPr>
    </w:p>
    <w:p w14:paraId="5F5BF552" w14:textId="77777777" w:rsidR="00AD0367" w:rsidRDefault="00AD0367" w:rsidP="00AD0367">
      <w:pPr>
        <w:pStyle w:val="SemEspaamento"/>
        <w:jc w:val="center"/>
        <w:rPr>
          <w:rFonts w:ascii="Arial" w:hAnsi="Arial" w:cs="Arial"/>
          <w:b/>
          <w:sz w:val="24"/>
          <w:szCs w:val="24"/>
        </w:rPr>
      </w:pPr>
    </w:p>
    <w:p w14:paraId="65DF425F" w14:textId="77777777" w:rsidR="00AD0367" w:rsidRDefault="00AD0367" w:rsidP="00AD0367">
      <w:pPr>
        <w:pStyle w:val="SemEspaamento"/>
        <w:jc w:val="center"/>
        <w:rPr>
          <w:rFonts w:ascii="Arial" w:hAnsi="Arial" w:cs="Arial"/>
          <w:b/>
          <w:sz w:val="24"/>
          <w:szCs w:val="24"/>
        </w:rPr>
      </w:pPr>
    </w:p>
    <w:p w14:paraId="410232D1" w14:textId="77777777" w:rsidR="00AD0367" w:rsidRDefault="00AD0367" w:rsidP="00AD0367">
      <w:pPr>
        <w:pStyle w:val="SemEspaamento"/>
        <w:jc w:val="center"/>
        <w:rPr>
          <w:rFonts w:ascii="Arial" w:hAnsi="Arial" w:cs="Arial"/>
          <w:b/>
          <w:sz w:val="24"/>
          <w:szCs w:val="24"/>
        </w:rPr>
      </w:pPr>
    </w:p>
    <w:p w14:paraId="0C6462E1" w14:textId="77777777" w:rsidR="00AD0367" w:rsidRDefault="00AD0367" w:rsidP="00AD0367">
      <w:pPr>
        <w:pStyle w:val="SemEspaamento"/>
        <w:jc w:val="center"/>
        <w:rPr>
          <w:rFonts w:ascii="Arial" w:hAnsi="Arial" w:cs="Arial"/>
          <w:b/>
          <w:sz w:val="24"/>
          <w:szCs w:val="24"/>
        </w:rPr>
      </w:pPr>
    </w:p>
    <w:p w14:paraId="02321B3F" w14:textId="77777777" w:rsidR="00AD0367" w:rsidRDefault="00AD0367" w:rsidP="00AD0367">
      <w:pPr>
        <w:pStyle w:val="SemEspaamento"/>
        <w:jc w:val="center"/>
        <w:rPr>
          <w:rFonts w:ascii="Arial" w:hAnsi="Arial" w:cs="Arial"/>
          <w:b/>
          <w:sz w:val="24"/>
          <w:szCs w:val="24"/>
        </w:rPr>
      </w:pPr>
    </w:p>
    <w:p w14:paraId="574BFAA1" w14:textId="77777777" w:rsidR="00AD0367" w:rsidRDefault="00AD0367" w:rsidP="00AD0367">
      <w:pPr>
        <w:pStyle w:val="SemEspaamento"/>
        <w:jc w:val="center"/>
        <w:rPr>
          <w:rFonts w:ascii="Arial" w:hAnsi="Arial" w:cs="Arial"/>
          <w:b/>
          <w:sz w:val="24"/>
          <w:szCs w:val="24"/>
        </w:rPr>
      </w:pPr>
    </w:p>
    <w:p w14:paraId="18DADBEB" w14:textId="77777777" w:rsidR="00AD0367" w:rsidRDefault="00AD0367" w:rsidP="00AD0367">
      <w:pPr>
        <w:pStyle w:val="SemEspaamento"/>
        <w:jc w:val="center"/>
        <w:rPr>
          <w:rFonts w:ascii="Arial" w:hAnsi="Arial" w:cs="Arial"/>
          <w:b/>
          <w:sz w:val="24"/>
          <w:szCs w:val="24"/>
        </w:rPr>
      </w:pPr>
    </w:p>
    <w:p w14:paraId="1F33804B" w14:textId="77777777" w:rsidR="00AD0367" w:rsidRDefault="00AD0367" w:rsidP="00AD0367">
      <w:pPr>
        <w:pStyle w:val="SemEspaamento"/>
        <w:jc w:val="center"/>
        <w:rPr>
          <w:rFonts w:ascii="Arial" w:hAnsi="Arial" w:cs="Arial"/>
          <w:b/>
          <w:sz w:val="24"/>
          <w:szCs w:val="24"/>
        </w:rPr>
      </w:pPr>
    </w:p>
    <w:p w14:paraId="15CD8062" w14:textId="77777777" w:rsidR="00AD0367" w:rsidRDefault="00AD0367" w:rsidP="00AD0367">
      <w:pPr>
        <w:pStyle w:val="SemEspaamento"/>
        <w:jc w:val="center"/>
        <w:rPr>
          <w:rFonts w:ascii="Arial" w:hAnsi="Arial" w:cs="Arial"/>
          <w:b/>
          <w:sz w:val="24"/>
          <w:szCs w:val="24"/>
        </w:rPr>
      </w:pPr>
    </w:p>
    <w:p w14:paraId="07C2FFDB" w14:textId="77777777" w:rsidR="00AD0367" w:rsidRDefault="00AD0367" w:rsidP="00AD0367">
      <w:pPr>
        <w:pStyle w:val="SemEspaamento"/>
        <w:jc w:val="center"/>
        <w:rPr>
          <w:rFonts w:ascii="Arial" w:hAnsi="Arial" w:cs="Arial"/>
          <w:b/>
          <w:sz w:val="24"/>
          <w:szCs w:val="24"/>
        </w:rPr>
      </w:pPr>
    </w:p>
    <w:p w14:paraId="5EDE1646" w14:textId="77777777" w:rsidR="00AD0367" w:rsidRDefault="00AD0367" w:rsidP="00AD0367">
      <w:pPr>
        <w:pStyle w:val="SemEspaamento"/>
        <w:jc w:val="center"/>
        <w:rPr>
          <w:rFonts w:ascii="Arial" w:hAnsi="Arial" w:cs="Arial"/>
          <w:b/>
          <w:sz w:val="24"/>
          <w:szCs w:val="24"/>
        </w:rPr>
      </w:pPr>
    </w:p>
    <w:p w14:paraId="09097198" w14:textId="77777777" w:rsidR="00AD0367" w:rsidRDefault="00AD0367" w:rsidP="00AD0367">
      <w:pPr>
        <w:pStyle w:val="SemEspaamento"/>
        <w:jc w:val="center"/>
        <w:rPr>
          <w:rFonts w:ascii="Arial" w:hAnsi="Arial" w:cs="Arial"/>
          <w:b/>
          <w:sz w:val="24"/>
          <w:szCs w:val="24"/>
        </w:rPr>
      </w:pPr>
    </w:p>
    <w:p w14:paraId="4A5798DA" w14:textId="77777777" w:rsidR="00AD0367" w:rsidRDefault="00AD0367" w:rsidP="00AD0367">
      <w:pPr>
        <w:pStyle w:val="SemEspaamento"/>
        <w:jc w:val="center"/>
        <w:rPr>
          <w:rFonts w:ascii="Arial" w:hAnsi="Arial" w:cs="Arial"/>
          <w:b/>
          <w:sz w:val="24"/>
          <w:szCs w:val="24"/>
        </w:rPr>
      </w:pPr>
    </w:p>
    <w:p w14:paraId="1D8FCBB9" w14:textId="77777777" w:rsidR="00AD0367" w:rsidRDefault="00AD0367" w:rsidP="00AD0367">
      <w:pPr>
        <w:pStyle w:val="SemEspaamento"/>
        <w:jc w:val="center"/>
        <w:rPr>
          <w:rFonts w:ascii="Arial" w:hAnsi="Arial" w:cs="Arial"/>
          <w:b/>
          <w:sz w:val="24"/>
          <w:szCs w:val="24"/>
        </w:rPr>
      </w:pPr>
    </w:p>
    <w:p w14:paraId="30873A98" w14:textId="77777777" w:rsidR="00AD0367" w:rsidRDefault="00AD0367" w:rsidP="00AD0367">
      <w:pPr>
        <w:pStyle w:val="SemEspaamento"/>
        <w:jc w:val="center"/>
        <w:rPr>
          <w:rFonts w:ascii="Arial" w:hAnsi="Arial" w:cs="Arial"/>
          <w:b/>
          <w:sz w:val="24"/>
          <w:szCs w:val="24"/>
        </w:rPr>
      </w:pPr>
    </w:p>
    <w:p w14:paraId="4EDFB082" w14:textId="77777777" w:rsidR="00AD0367" w:rsidRDefault="00AD0367" w:rsidP="00AD0367">
      <w:pPr>
        <w:pStyle w:val="SemEspaamento"/>
        <w:jc w:val="center"/>
        <w:rPr>
          <w:rFonts w:ascii="Arial" w:hAnsi="Arial" w:cs="Arial"/>
          <w:b/>
          <w:sz w:val="24"/>
          <w:szCs w:val="24"/>
        </w:rPr>
      </w:pPr>
    </w:p>
    <w:p w14:paraId="76835C84" w14:textId="77777777" w:rsidR="00AD0367" w:rsidRDefault="00AD0367" w:rsidP="00AD0367">
      <w:pPr>
        <w:pStyle w:val="SemEspaamento"/>
        <w:jc w:val="center"/>
        <w:rPr>
          <w:rFonts w:ascii="Arial" w:hAnsi="Arial" w:cs="Arial"/>
          <w:b/>
          <w:sz w:val="24"/>
          <w:szCs w:val="24"/>
        </w:rPr>
      </w:pPr>
    </w:p>
    <w:p w14:paraId="2881265F" w14:textId="77777777" w:rsidR="00AD0367" w:rsidRDefault="00AD0367" w:rsidP="00AD0367">
      <w:pPr>
        <w:pStyle w:val="SemEspaamento"/>
        <w:jc w:val="center"/>
        <w:rPr>
          <w:rFonts w:ascii="Arial" w:hAnsi="Arial" w:cs="Arial"/>
          <w:b/>
          <w:sz w:val="24"/>
          <w:szCs w:val="24"/>
        </w:rPr>
      </w:pPr>
    </w:p>
    <w:p w14:paraId="7DA9CC12" w14:textId="77777777" w:rsidR="00AD0367" w:rsidRDefault="00AD0367" w:rsidP="00AD0367">
      <w:pPr>
        <w:pStyle w:val="SemEspaamento"/>
        <w:jc w:val="center"/>
        <w:rPr>
          <w:rFonts w:ascii="Arial" w:hAnsi="Arial" w:cs="Arial"/>
          <w:b/>
          <w:sz w:val="24"/>
          <w:szCs w:val="24"/>
        </w:rPr>
      </w:pPr>
    </w:p>
    <w:p w14:paraId="7606CC44" w14:textId="77777777" w:rsidR="00AD0367" w:rsidRDefault="00AD0367" w:rsidP="00AD0367">
      <w:pPr>
        <w:pStyle w:val="SemEspaamento"/>
        <w:jc w:val="center"/>
        <w:rPr>
          <w:rFonts w:ascii="Arial" w:hAnsi="Arial" w:cs="Arial"/>
          <w:b/>
          <w:sz w:val="24"/>
          <w:szCs w:val="24"/>
        </w:rPr>
      </w:pPr>
    </w:p>
    <w:p w14:paraId="7DD7451C" w14:textId="77777777" w:rsidR="00AD0367" w:rsidRDefault="00AD0367" w:rsidP="00AD0367">
      <w:pPr>
        <w:pStyle w:val="SemEspaamento"/>
        <w:jc w:val="center"/>
        <w:rPr>
          <w:rFonts w:ascii="Arial" w:hAnsi="Arial" w:cs="Arial"/>
          <w:b/>
          <w:sz w:val="24"/>
          <w:szCs w:val="24"/>
        </w:rPr>
      </w:pPr>
    </w:p>
    <w:p w14:paraId="46833F7A" w14:textId="77777777" w:rsidR="00AD0367" w:rsidRDefault="00AD0367" w:rsidP="00AD0367">
      <w:pPr>
        <w:pStyle w:val="SemEspaamento"/>
        <w:jc w:val="center"/>
        <w:rPr>
          <w:rFonts w:ascii="Arial" w:hAnsi="Arial" w:cs="Arial"/>
          <w:b/>
          <w:sz w:val="24"/>
          <w:szCs w:val="24"/>
        </w:rPr>
      </w:pPr>
    </w:p>
    <w:p w14:paraId="34271259" w14:textId="77777777" w:rsidR="00AD0367" w:rsidRDefault="00AD0367" w:rsidP="00AD0367">
      <w:pPr>
        <w:pStyle w:val="SemEspaamento"/>
        <w:jc w:val="center"/>
        <w:rPr>
          <w:rFonts w:ascii="Arial" w:hAnsi="Arial" w:cs="Arial"/>
          <w:b/>
          <w:sz w:val="24"/>
          <w:szCs w:val="24"/>
        </w:rPr>
      </w:pPr>
    </w:p>
    <w:p w14:paraId="59F7B0CE" w14:textId="77777777" w:rsidR="00AD0367" w:rsidRDefault="00AD0367" w:rsidP="00AD0367">
      <w:pPr>
        <w:pStyle w:val="SemEspaamento"/>
        <w:jc w:val="center"/>
        <w:rPr>
          <w:rFonts w:ascii="Arial" w:hAnsi="Arial" w:cs="Arial"/>
          <w:b/>
          <w:sz w:val="24"/>
          <w:szCs w:val="24"/>
        </w:rPr>
      </w:pPr>
    </w:p>
    <w:p w14:paraId="0E46ABD3" w14:textId="77777777" w:rsidR="00AD0367" w:rsidRPr="00444826" w:rsidRDefault="00AD0367" w:rsidP="00AD0367">
      <w:pPr>
        <w:pStyle w:val="SemEspaamento"/>
        <w:jc w:val="center"/>
        <w:rPr>
          <w:rFonts w:ascii="Arial" w:hAnsi="Arial" w:cs="Arial"/>
          <w:b/>
          <w:sz w:val="24"/>
          <w:szCs w:val="24"/>
        </w:rPr>
      </w:pPr>
    </w:p>
    <w:p w14:paraId="7BC856EA" w14:textId="77777777" w:rsidR="003D57EC" w:rsidRDefault="003D57EC" w:rsidP="00AD0367">
      <w:pPr>
        <w:pStyle w:val="SemEspaamento"/>
        <w:jc w:val="right"/>
        <w:rPr>
          <w:rFonts w:ascii="Arial" w:hAnsi="Arial" w:cs="Arial"/>
          <w:bCs/>
          <w:i/>
          <w:iCs/>
          <w:sz w:val="24"/>
          <w:szCs w:val="24"/>
        </w:rPr>
      </w:pPr>
      <w:r>
        <w:rPr>
          <w:rFonts w:ascii="Arial" w:hAnsi="Arial" w:cs="Arial"/>
          <w:bCs/>
          <w:i/>
          <w:iCs/>
          <w:sz w:val="24"/>
          <w:szCs w:val="24"/>
        </w:rPr>
        <w:t>As pessoas felizes lembram o passado</w:t>
      </w:r>
    </w:p>
    <w:p w14:paraId="4A759929" w14:textId="6E6F5758" w:rsidR="003D57EC" w:rsidRDefault="003D57EC" w:rsidP="00AD0367">
      <w:pPr>
        <w:pStyle w:val="SemEspaamento"/>
        <w:jc w:val="right"/>
        <w:rPr>
          <w:rFonts w:ascii="Arial" w:hAnsi="Arial" w:cs="Arial"/>
          <w:bCs/>
          <w:i/>
          <w:iCs/>
          <w:sz w:val="24"/>
          <w:szCs w:val="24"/>
        </w:rPr>
      </w:pPr>
      <w:r>
        <w:rPr>
          <w:rFonts w:ascii="Arial" w:hAnsi="Arial" w:cs="Arial"/>
          <w:bCs/>
          <w:i/>
          <w:iCs/>
          <w:sz w:val="24"/>
          <w:szCs w:val="24"/>
        </w:rPr>
        <w:t>com gratidão, alegram-se com o presente</w:t>
      </w:r>
    </w:p>
    <w:p w14:paraId="63E2C912" w14:textId="77777777" w:rsidR="003D57EC" w:rsidRDefault="003D57EC" w:rsidP="00AD0367">
      <w:pPr>
        <w:pStyle w:val="SemEspaamento"/>
        <w:jc w:val="right"/>
        <w:rPr>
          <w:rFonts w:ascii="Arial" w:hAnsi="Arial" w:cs="Arial"/>
          <w:bCs/>
          <w:i/>
          <w:iCs/>
          <w:sz w:val="24"/>
          <w:szCs w:val="24"/>
        </w:rPr>
      </w:pPr>
      <w:r>
        <w:rPr>
          <w:rFonts w:ascii="Arial" w:hAnsi="Arial" w:cs="Arial"/>
          <w:bCs/>
          <w:i/>
          <w:iCs/>
          <w:sz w:val="24"/>
          <w:szCs w:val="24"/>
        </w:rPr>
        <w:t>e encaram o futuro sem medo.</w:t>
      </w:r>
    </w:p>
    <w:p w14:paraId="483A8116" w14:textId="3CB588DB" w:rsidR="00AD0367" w:rsidRPr="00444826" w:rsidRDefault="003D57EC" w:rsidP="003D57EC">
      <w:pPr>
        <w:pStyle w:val="SemEspaamento"/>
        <w:jc w:val="center"/>
        <w:rPr>
          <w:rFonts w:ascii="Arial" w:hAnsi="Arial" w:cs="Arial"/>
          <w:bCs/>
          <w:i/>
          <w:iCs/>
          <w:sz w:val="24"/>
          <w:szCs w:val="24"/>
        </w:rPr>
      </w:pPr>
      <w:r>
        <w:rPr>
          <w:rFonts w:ascii="Arial" w:hAnsi="Arial" w:cs="Arial"/>
          <w:bCs/>
          <w:i/>
          <w:iCs/>
          <w:sz w:val="24"/>
          <w:szCs w:val="24"/>
        </w:rPr>
        <w:t xml:space="preserve">                                                                                                                          Epicuro </w:t>
      </w:r>
      <w:r w:rsidR="00AD0367" w:rsidRPr="00444826">
        <w:rPr>
          <w:rFonts w:ascii="Arial" w:hAnsi="Arial" w:cs="Arial"/>
          <w:bCs/>
          <w:i/>
          <w:iCs/>
          <w:sz w:val="24"/>
          <w:szCs w:val="24"/>
        </w:rPr>
        <w:t xml:space="preserve"> </w:t>
      </w:r>
    </w:p>
    <w:p w14:paraId="0777151E" w14:textId="77777777" w:rsidR="00AD0367" w:rsidRPr="00444826" w:rsidRDefault="00AD0367" w:rsidP="00AD0367">
      <w:pPr>
        <w:pStyle w:val="SemEspaamento"/>
        <w:jc w:val="center"/>
        <w:rPr>
          <w:rFonts w:ascii="Arial" w:hAnsi="Arial" w:cs="Arial"/>
          <w:sz w:val="24"/>
          <w:szCs w:val="24"/>
        </w:rPr>
      </w:pPr>
      <w:r w:rsidRPr="00444826">
        <w:rPr>
          <w:rFonts w:ascii="Arial" w:hAnsi="Arial" w:cs="Arial"/>
          <w:b/>
          <w:sz w:val="24"/>
          <w:szCs w:val="24"/>
        </w:rPr>
        <w:br w:type="page"/>
      </w:r>
    </w:p>
    <w:p w14:paraId="203202C4" w14:textId="0969F39C" w:rsidR="00AD0367" w:rsidRPr="00444826" w:rsidRDefault="000F62E2" w:rsidP="0091714C">
      <w:pPr>
        <w:spacing w:after="0" w:line="240" w:lineRule="auto"/>
        <w:jc w:val="center"/>
        <w:rPr>
          <w:rFonts w:ascii="Arial" w:hAnsi="Arial" w:cs="Arial"/>
          <w:sz w:val="24"/>
          <w:szCs w:val="24"/>
        </w:rPr>
      </w:pPr>
      <w:r>
        <w:rPr>
          <w:rFonts w:ascii="Arial" w:hAnsi="Arial" w:cs="Arial"/>
          <w:bCs/>
          <w:noProof/>
          <w:sz w:val="24"/>
          <w:szCs w:val="24"/>
        </w:rPr>
        <w:lastRenderedPageBreak/>
        <w:drawing>
          <wp:anchor distT="0" distB="0" distL="114300" distR="114300" simplePos="0" relativeHeight="251660288" behindDoc="1" locked="0" layoutInCell="1" allowOverlap="1" wp14:anchorId="52EAAFEB" wp14:editId="64F03FF1">
            <wp:simplePos x="0" y="0"/>
            <wp:positionH relativeFrom="column">
              <wp:posOffset>-1063625</wp:posOffset>
            </wp:positionH>
            <wp:positionV relativeFrom="paragraph">
              <wp:posOffset>3857625</wp:posOffset>
            </wp:positionV>
            <wp:extent cx="7541895" cy="5496560"/>
            <wp:effectExtent l="0" t="0" r="1905" b="8890"/>
            <wp:wrapTight wrapText="bothSides">
              <wp:wrapPolygon edited="0">
                <wp:start x="0" y="0"/>
                <wp:lineTo x="0" y="21560"/>
                <wp:lineTo x="21551" y="21560"/>
                <wp:lineTo x="21551"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1895" cy="549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14C">
        <w:rPr>
          <w:rFonts w:ascii="Arial" w:hAnsi="Arial" w:cs="Arial"/>
          <w:noProof/>
          <w:sz w:val="24"/>
          <w:szCs w:val="24"/>
        </w:rPr>
        <w:drawing>
          <wp:anchor distT="0" distB="0" distL="114300" distR="114300" simplePos="0" relativeHeight="251656192" behindDoc="1" locked="0" layoutInCell="1" allowOverlap="1" wp14:anchorId="7F18A16B" wp14:editId="7A74981A">
            <wp:simplePos x="0" y="0"/>
            <wp:positionH relativeFrom="column">
              <wp:posOffset>-1071245</wp:posOffset>
            </wp:positionH>
            <wp:positionV relativeFrom="paragraph">
              <wp:posOffset>-1061085</wp:posOffset>
            </wp:positionV>
            <wp:extent cx="7551444" cy="5029835"/>
            <wp:effectExtent l="0" t="0" r="0" b="0"/>
            <wp:wrapTight wrapText="bothSides">
              <wp:wrapPolygon edited="0">
                <wp:start x="0" y="0"/>
                <wp:lineTo x="0" y="21515"/>
                <wp:lineTo x="21524" y="21515"/>
                <wp:lineTo x="21524"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1444" cy="502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340F9" w14:textId="78E36BA9" w:rsidR="000F62E2" w:rsidRDefault="000F62E2" w:rsidP="00191D35">
      <w:pPr>
        <w:spacing w:after="0" w:line="360" w:lineRule="auto"/>
        <w:jc w:val="center"/>
        <w:rPr>
          <w:rFonts w:ascii="Arial" w:eastAsia="Arial" w:hAnsi="Arial" w:cs="Arial"/>
          <w:b/>
          <w:color w:val="000000"/>
          <w:sz w:val="24"/>
          <w:szCs w:val="24"/>
        </w:rPr>
      </w:pPr>
      <w:r>
        <w:rPr>
          <w:rFonts w:ascii="Arial" w:eastAsia="Arial" w:hAnsi="Arial" w:cs="Arial"/>
          <w:b/>
          <w:noProof/>
          <w:color w:val="000000"/>
          <w:sz w:val="24"/>
          <w:szCs w:val="24"/>
        </w:rPr>
        <w:lastRenderedPageBreak/>
        <w:drawing>
          <wp:anchor distT="0" distB="0" distL="114300" distR="114300" simplePos="0" relativeHeight="251668480" behindDoc="1" locked="0" layoutInCell="1" allowOverlap="1" wp14:anchorId="4073C7E3" wp14:editId="03D902F5">
            <wp:simplePos x="0" y="0"/>
            <wp:positionH relativeFrom="column">
              <wp:posOffset>-1080135</wp:posOffset>
            </wp:positionH>
            <wp:positionV relativeFrom="paragraph">
              <wp:posOffset>3720465</wp:posOffset>
            </wp:positionV>
            <wp:extent cx="7551420" cy="5400040"/>
            <wp:effectExtent l="0" t="0" r="0" b="0"/>
            <wp:wrapTight wrapText="bothSides">
              <wp:wrapPolygon edited="0">
                <wp:start x="0" y="0"/>
                <wp:lineTo x="0" y="21488"/>
                <wp:lineTo x="21524" y="21488"/>
                <wp:lineTo x="21524" y="0"/>
                <wp:lineTo x="0" y="0"/>
              </wp:wrapPolygon>
            </wp:wrapTight>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1420" cy="5400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0000"/>
          <w:sz w:val="24"/>
          <w:szCs w:val="24"/>
        </w:rPr>
        <w:drawing>
          <wp:anchor distT="0" distB="0" distL="114300" distR="114300" simplePos="0" relativeHeight="251663360" behindDoc="1" locked="0" layoutInCell="1" allowOverlap="1" wp14:anchorId="34F07A30" wp14:editId="662ACD0D">
            <wp:simplePos x="0" y="0"/>
            <wp:positionH relativeFrom="column">
              <wp:posOffset>-1061085</wp:posOffset>
            </wp:positionH>
            <wp:positionV relativeFrom="paragraph">
              <wp:posOffset>-889635</wp:posOffset>
            </wp:positionV>
            <wp:extent cx="7515860" cy="4609465"/>
            <wp:effectExtent l="0" t="0" r="8890" b="635"/>
            <wp:wrapTight wrapText="bothSides">
              <wp:wrapPolygon edited="0">
                <wp:start x="0" y="0"/>
                <wp:lineTo x="0" y="21514"/>
                <wp:lineTo x="21571" y="21514"/>
                <wp:lineTo x="21571" y="0"/>
                <wp:lineTo x="0" y="0"/>
              </wp:wrapPolygon>
            </wp:wrapTight>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5860" cy="460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C62F8" w14:textId="6B17338D" w:rsidR="00A70462" w:rsidRDefault="00A70462" w:rsidP="00191D35">
      <w:pPr>
        <w:spacing w:after="0" w:line="360" w:lineRule="auto"/>
        <w:jc w:val="center"/>
        <w:rPr>
          <w:rFonts w:ascii="Arial" w:eastAsia="Arial" w:hAnsi="Arial" w:cs="Arial"/>
          <w:b/>
          <w:color w:val="000000"/>
          <w:sz w:val="24"/>
          <w:szCs w:val="24"/>
        </w:rPr>
      </w:pPr>
      <w:r>
        <w:rPr>
          <w:rFonts w:ascii="Arial" w:eastAsia="Arial" w:hAnsi="Arial" w:cs="Arial"/>
          <w:b/>
          <w:color w:val="000000"/>
          <w:sz w:val="24"/>
          <w:szCs w:val="24"/>
        </w:rPr>
        <w:lastRenderedPageBreak/>
        <w:t>ANÁLISE DA RESPOSTA IMUNOLÓGICA CONTRA O VÍRUS DA HEPATITE B EM PROFISSIONAIS DE SAÚDE DE UM HOSPITAL DE MINAS GERAIS.</w:t>
      </w:r>
    </w:p>
    <w:p w14:paraId="471DA37A" w14:textId="77777777" w:rsidR="00AD0367" w:rsidRPr="00444826" w:rsidRDefault="00AD0367" w:rsidP="00191D35">
      <w:pPr>
        <w:pStyle w:val="SemEspaamento"/>
        <w:spacing w:line="360" w:lineRule="auto"/>
        <w:jc w:val="center"/>
        <w:rPr>
          <w:rFonts w:ascii="Arial" w:hAnsi="Arial" w:cs="Arial"/>
          <w:b/>
          <w:sz w:val="24"/>
          <w:szCs w:val="24"/>
        </w:rPr>
      </w:pPr>
    </w:p>
    <w:p w14:paraId="571561ED" w14:textId="77777777" w:rsidR="00A70462" w:rsidRPr="00886538" w:rsidRDefault="00A70462" w:rsidP="00191D35">
      <w:pPr>
        <w:spacing w:after="0" w:line="360" w:lineRule="auto"/>
        <w:jc w:val="center"/>
        <w:rPr>
          <w:rFonts w:ascii="Arial" w:eastAsia="Arial" w:hAnsi="Arial" w:cs="Arial"/>
          <w:b/>
          <w:smallCaps/>
          <w:sz w:val="28"/>
          <w:szCs w:val="28"/>
          <w:lang w:val="en-US"/>
        </w:rPr>
      </w:pPr>
      <w:r w:rsidRPr="00E16FE5">
        <w:rPr>
          <w:rFonts w:ascii="Arial" w:eastAsia="Arial" w:hAnsi="Arial" w:cs="Arial"/>
          <w:b/>
          <w:smallCaps/>
          <w:sz w:val="24"/>
          <w:szCs w:val="24"/>
          <w:lang w:val="en-US"/>
        </w:rPr>
        <w:t>ANALYS OF THE IMMUNE RESPONSE AGAINST THE HEPATITIS B VIRUS IN HEALTH PROFESSIONALS AT</w:t>
      </w:r>
      <w:r w:rsidRPr="00886538">
        <w:rPr>
          <w:rFonts w:ascii="Arial" w:eastAsia="Arial" w:hAnsi="Arial" w:cs="Arial"/>
          <w:b/>
          <w:smallCaps/>
          <w:sz w:val="24"/>
          <w:szCs w:val="24"/>
          <w:lang w:val="en-US"/>
        </w:rPr>
        <w:t>A HOSPITAL IN MINAS GERAIS.</w:t>
      </w:r>
    </w:p>
    <w:p w14:paraId="31303846" w14:textId="77777777" w:rsidR="00AD0367" w:rsidRPr="00886538" w:rsidRDefault="00AD0367" w:rsidP="00191D35">
      <w:pPr>
        <w:spacing w:after="0" w:line="360" w:lineRule="auto"/>
        <w:jc w:val="center"/>
        <w:rPr>
          <w:rFonts w:ascii="Arial" w:hAnsi="Arial" w:cs="Arial"/>
          <w:b/>
          <w:sz w:val="24"/>
          <w:szCs w:val="24"/>
          <w:lang w:val="en-US"/>
        </w:rPr>
      </w:pPr>
    </w:p>
    <w:p w14:paraId="21EBA920" w14:textId="77777777" w:rsidR="00AD0367" w:rsidRPr="00444826" w:rsidRDefault="00A70462" w:rsidP="00191D35">
      <w:pPr>
        <w:spacing w:after="0" w:line="360" w:lineRule="auto"/>
        <w:ind w:left="2832" w:firstLine="708"/>
        <w:jc w:val="right"/>
        <w:rPr>
          <w:rFonts w:ascii="Arial" w:eastAsia="Calibri" w:hAnsi="Arial" w:cs="Arial"/>
          <w:sz w:val="24"/>
          <w:szCs w:val="24"/>
        </w:rPr>
      </w:pPr>
      <w:r w:rsidRPr="00623FAD">
        <w:rPr>
          <w:rFonts w:ascii="Arial" w:eastAsia="Calibri" w:hAnsi="Arial" w:cs="Arial"/>
          <w:sz w:val="24"/>
          <w:szCs w:val="24"/>
        </w:rPr>
        <w:t>C</w:t>
      </w:r>
      <w:r w:rsidR="008E01D4" w:rsidRPr="00623FAD">
        <w:rPr>
          <w:rFonts w:ascii="Arial" w:eastAsia="Calibri" w:hAnsi="Arial" w:cs="Arial"/>
          <w:sz w:val="24"/>
          <w:szCs w:val="24"/>
        </w:rPr>
        <w:t xml:space="preserve">arlos Vinicius Caetano Dias </w:t>
      </w:r>
      <w:proofErr w:type="spellStart"/>
      <w:r w:rsidR="008E01D4" w:rsidRPr="00220AAC">
        <w:rPr>
          <w:rFonts w:ascii="Arial" w:eastAsia="Calibri" w:hAnsi="Arial" w:cs="Arial"/>
          <w:sz w:val="24"/>
          <w:szCs w:val="24"/>
        </w:rPr>
        <w:t>Ortelan</w:t>
      </w:r>
      <w:proofErr w:type="spellEnd"/>
      <w:r w:rsidR="004D5CCC" w:rsidRPr="00623FAD">
        <w:rPr>
          <w:rStyle w:val="Refdenotaderodap"/>
          <w:rFonts w:ascii="Arial" w:eastAsia="Calibri" w:hAnsi="Arial" w:cs="Arial"/>
          <w:sz w:val="24"/>
          <w:szCs w:val="24"/>
        </w:rPr>
        <w:footnoteReference w:id="1"/>
      </w:r>
    </w:p>
    <w:p w14:paraId="3F1B9EBE" w14:textId="77777777" w:rsidR="00BC1E28" w:rsidRDefault="00A70462" w:rsidP="00BC1E28">
      <w:pPr>
        <w:spacing w:after="0" w:line="360" w:lineRule="auto"/>
        <w:jc w:val="right"/>
        <w:rPr>
          <w:rFonts w:ascii="Arial" w:eastAsia="Calibri" w:hAnsi="Arial" w:cs="Arial"/>
          <w:sz w:val="24"/>
          <w:szCs w:val="24"/>
        </w:rPr>
      </w:pPr>
      <w:r>
        <w:rPr>
          <w:rFonts w:ascii="Arial" w:eastAsia="Calibri" w:hAnsi="Arial" w:cs="Arial"/>
          <w:sz w:val="24"/>
          <w:szCs w:val="24"/>
        </w:rPr>
        <w:t>J</w:t>
      </w:r>
      <w:r w:rsidR="008E01D4">
        <w:rPr>
          <w:rFonts w:ascii="Arial" w:eastAsia="Calibri" w:hAnsi="Arial" w:cs="Arial"/>
          <w:sz w:val="24"/>
          <w:szCs w:val="24"/>
        </w:rPr>
        <w:t>ean Rodrigo Pimenta Mariano</w:t>
      </w:r>
      <w:r w:rsidR="004D5CCC">
        <w:rPr>
          <w:rStyle w:val="Refdenotaderodap"/>
          <w:rFonts w:ascii="Arial" w:eastAsia="Calibri" w:hAnsi="Arial" w:cs="Arial"/>
          <w:sz w:val="24"/>
          <w:szCs w:val="24"/>
        </w:rPr>
        <w:footnoteReference w:id="2"/>
      </w:r>
    </w:p>
    <w:p w14:paraId="4422DF52" w14:textId="4940B1E1" w:rsidR="00AD0367" w:rsidRPr="00444826" w:rsidRDefault="00623FAD" w:rsidP="00BC1E28">
      <w:pPr>
        <w:spacing w:after="0" w:line="360" w:lineRule="auto"/>
        <w:jc w:val="right"/>
        <w:rPr>
          <w:rFonts w:ascii="Arial" w:hAnsi="Arial" w:cs="Arial"/>
          <w:sz w:val="24"/>
          <w:szCs w:val="24"/>
        </w:rPr>
      </w:pPr>
      <w:r>
        <w:rPr>
          <w:rFonts w:ascii="Arial" w:eastAsia="Calibri" w:hAnsi="Arial" w:cs="Arial"/>
          <w:sz w:val="24"/>
          <w:szCs w:val="24"/>
        </w:rPr>
        <w:t>Alexandre Ferreira Costa Vianna</w:t>
      </w:r>
      <w:r w:rsidR="004D5CCC">
        <w:rPr>
          <w:rStyle w:val="Refdenotaderodap"/>
          <w:rFonts w:ascii="Arial" w:eastAsia="Calibri" w:hAnsi="Arial" w:cs="Arial"/>
          <w:sz w:val="24"/>
          <w:szCs w:val="24"/>
        </w:rPr>
        <w:footnoteReference w:id="3"/>
      </w:r>
    </w:p>
    <w:p w14:paraId="08DE2CC7" w14:textId="77777777" w:rsidR="00AD0367" w:rsidRDefault="00AD0367" w:rsidP="00AF37F2">
      <w:pPr>
        <w:pStyle w:val="Ttulo1"/>
      </w:pPr>
      <w:r w:rsidRPr="00444826">
        <w:t>RESUMO</w:t>
      </w:r>
    </w:p>
    <w:p w14:paraId="4E68758E" w14:textId="0B7DF82E" w:rsidR="00A70462" w:rsidRDefault="00A70462" w:rsidP="008E01D4">
      <w:pPr>
        <w:pStyle w:val="Default"/>
        <w:jc w:val="both"/>
      </w:pPr>
      <w:r w:rsidRPr="00917813">
        <w:rPr>
          <w:color w:val="auto"/>
        </w:rPr>
        <w:t xml:space="preserve">A Hepatite B </w:t>
      </w:r>
      <w:r w:rsidRPr="00917813">
        <w:rPr>
          <w:bCs/>
          <w:color w:val="auto"/>
        </w:rPr>
        <w:t>é uma doença que acomete o fígado.</w:t>
      </w:r>
      <w:r w:rsidR="008F7B92">
        <w:rPr>
          <w:bCs/>
          <w:color w:val="auto"/>
        </w:rPr>
        <w:t xml:space="preserve"> </w:t>
      </w:r>
      <w:r w:rsidR="00A265C2">
        <w:rPr>
          <w:color w:val="auto"/>
        </w:rPr>
        <w:t>O</w:t>
      </w:r>
      <w:r w:rsidRPr="00917813">
        <w:rPr>
          <w:color w:val="auto"/>
        </w:rPr>
        <w:t xml:space="preserve">casiona febre, dor, anorexia, </w:t>
      </w:r>
      <w:proofErr w:type="spellStart"/>
      <w:r w:rsidRPr="00917813">
        <w:rPr>
          <w:color w:val="auto"/>
        </w:rPr>
        <w:t>colúria</w:t>
      </w:r>
      <w:proofErr w:type="spellEnd"/>
      <w:r w:rsidRPr="00917813">
        <w:rPr>
          <w:color w:val="auto"/>
        </w:rPr>
        <w:t>, hipocolia, icterícia, cirrose, edema, varizes esofágicas. Os meios de transmissão são sexual, transfusional, seringas, instrumentais, parto, exposição ocupacional. Os profissionais de saúde são grupo de risco para o vírus da Hepatite B (VHB). Dentre a</w:t>
      </w:r>
      <w:r w:rsidRPr="00917813">
        <w:rPr>
          <w:rStyle w:val="A7"/>
          <w:rFonts w:ascii="Arial" w:hAnsi="Arial" w:cs="Arial"/>
          <w:bCs/>
          <w:color w:val="auto"/>
          <w:sz w:val="24"/>
          <w:szCs w:val="24"/>
        </w:rPr>
        <w:t>s medidas protetivas destaca-se a vacinação. E</w:t>
      </w:r>
      <w:r w:rsidRPr="00917813">
        <w:rPr>
          <w:color w:val="auto"/>
        </w:rPr>
        <w:t xml:space="preserve">xistem indivíduos </w:t>
      </w:r>
      <w:proofErr w:type="spellStart"/>
      <w:r w:rsidRPr="00917813">
        <w:rPr>
          <w:color w:val="auto"/>
        </w:rPr>
        <w:t>imuno</w:t>
      </w:r>
      <w:r w:rsidR="00A265C2">
        <w:rPr>
          <w:color w:val="auto"/>
        </w:rPr>
        <w:t>-</w:t>
      </w:r>
      <w:r w:rsidRPr="00917813">
        <w:rPr>
          <w:color w:val="auto"/>
        </w:rPr>
        <w:t>incompetentes</w:t>
      </w:r>
      <w:proofErr w:type="spellEnd"/>
      <w:r w:rsidRPr="00917813">
        <w:rPr>
          <w:rStyle w:val="A7"/>
          <w:rFonts w:ascii="Arial" w:hAnsi="Arial" w:cs="Arial"/>
          <w:color w:val="auto"/>
          <w:sz w:val="24"/>
          <w:szCs w:val="24"/>
        </w:rPr>
        <w:t xml:space="preserve"> para o combate ao VHB</w:t>
      </w:r>
      <w:r w:rsidRPr="002978DD">
        <w:rPr>
          <w:rStyle w:val="A7"/>
          <w:rFonts w:ascii="Arial" w:hAnsi="Arial" w:cs="Arial"/>
          <w:color w:val="auto"/>
          <w:sz w:val="24"/>
          <w:szCs w:val="24"/>
        </w:rPr>
        <w:t>.</w:t>
      </w:r>
      <w:r w:rsidR="00CD2292" w:rsidRPr="00CD2292">
        <w:rPr>
          <w:color w:val="201F1E"/>
          <w:shd w:val="clear" w:color="auto" w:fill="FFFFFF"/>
        </w:rPr>
        <w:t xml:space="preserve"> Este estudo </w:t>
      </w:r>
      <w:r w:rsidR="00AC77AB">
        <w:rPr>
          <w:color w:val="201F1E"/>
          <w:shd w:val="clear" w:color="auto" w:fill="FFFFFF"/>
        </w:rPr>
        <w:t>objetivou</w:t>
      </w:r>
      <w:r w:rsidR="008F7B92">
        <w:rPr>
          <w:color w:val="201F1E"/>
          <w:shd w:val="clear" w:color="auto" w:fill="FFFFFF"/>
        </w:rPr>
        <w:t xml:space="preserve"> </w:t>
      </w:r>
      <w:r w:rsidR="00CD2292" w:rsidRPr="00CD2292">
        <w:rPr>
          <w:color w:val="201F1E"/>
          <w:shd w:val="clear" w:color="auto" w:fill="FFFFFF"/>
        </w:rPr>
        <w:t>investigar níveis séricos dos anticorpos (</w:t>
      </w:r>
      <w:proofErr w:type="spellStart"/>
      <w:r w:rsidR="00CD2292" w:rsidRPr="00CD2292">
        <w:rPr>
          <w:color w:val="201F1E"/>
          <w:shd w:val="clear" w:color="auto" w:fill="FFFFFF"/>
        </w:rPr>
        <w:t>Anti-Hbs</w:t>
      </w:r>
      <w:proofErr w:type="spellEnd"/>
      <w:r w:rsidR="00CD2292" w:rsidRPr="00CD2292">
        <w:rPr>
          <w:color w:val="201F1E"/>
          <w:shd w:val="clear" w:color="auto" w:fill="FFFFFF"/>
        </w:rPr>
        <w:t>) contra o Ag-HBS em profissionais de saúde</w:t>
      </w:r>
      <w:r w:rsidR="00A265C2">
        <w:rPr>
          <w:color w:val="201F1E"/>
          <w:shd w:val="clear" w:color="auto" w:fill="FFFFFF"/>
        </w:rPr>
        <w:t>;</w:t>
      </w:r>
      <w:r w:rsidR="00CD2292" w:rsidRPr="00CD2292">
        <w:rPr>
          <w:color w:val="201F1E"/>
          <w:shd w:val="clear" w:color="auto" w:fill="FFFFFF"/>
        </w:rPr>
        <w:t xml:space="preserve"> o objetivo específico </w:t>
      </w:r>
      <w:r w:rsidR="00A265C2">
        <w:rPr>
          <w:color w:val="201F1E"/>
          <w:shd w:val="clear" w:color="auto" w:fill="FFFFFF"/>
        </w:rPr>
        <w:t>foi</w:t>
      </w:r>
      <w:r w:rsidR="00CD2292" w:rsidRPr="00CD2292">
        <w:rPr>
          <w:color w:val="201F1E"/>
          <w:shd w:val="clear" w:color="auto" w:fill="FFFFFF"/>
        </w:rPr>
        <w:t xml:space="preserve"> determinar </w:t>
      </w:r>
      <w:proofErr w:type="gramStart"/>
      <w:r w:rsidR="00CD2292" w:rsidRPr="00CD2292">
        <w:rPr>
          <w:color w:val="201F1E"/>
          <w:shd w:val="clear" w:color="auto" w:fill="FFFFFF"/>
        </w:rPr>
        <w:t>o quão protegida</w:t>
      </w:r>
      <w:proofErr w:type="gramEnd"/>
      <w:r w:rsidR="00CD2292" w:rsidRPr="00CD2292">
        <w:rPr>
          <w:color w:val="201F1E"/>
          <w:shd w:val="clear" w:color="auto" w:fill="FFFFFF"/>
        </w:rPr>
        <w:t xml:space="preserve"> está a equipe de saúde </w:t>
      </w:r>
      <w:r w:rsidR="00A265C2">
        <w:rPr>
          <w:color w:val="201F1E"/>
          <w:shd w:val="clear" w:color="auto" w:fill="FFFFFF"/>
        </w:rPr>
        <w:t>estudada</w:t>
      </w:r>
      <w:r w:rsidR="00CD2292" w:rsidRPr="00CD2292">
        <w:rPr>
          <w:color w:val="201F1E"/>
          <w:shd w:val="clear" w:color="auto" w:fill="FFFFFF"/>
        </w:rPr>
        <w:t>, propondo estratégias para melhoria</w:t>
      </w:r>
      <w:r w:rsidR="00A265C2">
        <w:rPr>
          <w:color w:val="201F1E"/>
          <w:shd w:val="clear" w:color="auto" w:fill="FFFFFF"/>
        </w:rPr>
        <w:t>s na prevenção.</w:t>
      </w:r>
      <w:r w:rsidR="008F7B92">
        <w:rPr>
          <w:color w:val="201F1E"/>
          <w:shd w:val="clear" w:color="auto" w:fill="FFFFFF"/>
        </w:rPr>
        <w:t xml:space="preserve"> </w:t>
      </w:r>
      <w:r w:rsidR="00A265C2">
        <w:rPr>
          <w:rStyle w:val="A7"/>
          <w:rFonts w:ascii="Arial" w:hAnsi="Arial" w:cs="Arial"/>
          <w:color w:val="auto"/>
          <w:sz w:val="24"/>
          <w:szCs w:val="24"/>
        </w:rPr>
        <w:t>Trata-se de</w:t>
      </w:r>
      <w:r w:rsidR="008F7B92">
        <w:rPr>
          <w:rStyle w:val="A7"/>
          <w:rFonts w:ascii="Arial" w:hAnsi="Arial" w:cs="Arial"/>
          <w:color w:val="auto"/>
          <w:sz w:val="24"/>
          <w:szCs w:val="24"/>
        </w:rPr>
        <w:t xml:space="preserve"> </w:t>
      </w:r>
      <w:r w:rsidRPr="00917813">
        <w:rPr>
          <w:color w:val="auto"/>
        </w:rPr>
        <w:t>estudo descritivo quantitativo retrospectivo que avalia a resposta imunológica contra Hepatite B em profissionais de saúde.</w:t>
      </w:r>
      <w:r w:rsidR="008F7B92">
        <w:rPr>
          <w:color w:val="auto"/>
        </w:rPr>
        <w:t xml:space="preserve"> </w:t>
      </w:r>
      <w:r w:rsidRPr="00917813">
        <w:t>A eficácia da imunização no sexo masculino correspondeu a 90,48%, no sexo feminino</w:t>
      </w:r>
      <w:r w:rsidR="00AC77AB">
        <w:t xml:space="preserve">, </w:t>
      </w:r>
      <w:r w:rsidRPr="00917813">
        <w:t xml:space="preserve">100%. Em relação a idade, 94,12% daqueles entre 18 a 29 anos estavam protegidos; entre 30 a 39 anos, 97,93%; acima de 40 anos, 95,92%. No total, 96,43% (108) apresentaram </w:t>
      </w:r>
      <w:proofErr w:type="spellStart"/>
      <w:r w:rsidRPr="00917813">
        <w:t>Anti-HBs</w:t>
      </w:r>
      <w:proofErr w:type="spellEnd"/>
      <w:r w:rsidRPr="00917813">
        <w:t xml:space="preserve"> reagente, 3,57% (4) não reagentes. O </w:t>
      </w:r>
      <w:r w:rsidRPr="00917813">
        <w:rPr>
          <w:bCs/>
        </w:rPr>
        <w:t xml:space="preserve">sexo feminino e a idade avançada influenciaram negativamente na capacidade imunogênica. </w:t>
      </w:r>
      <w:r w:rsidR="00AC77AB">
        <w:rPr>
          <w:bCs/>
        </w:rPr>
        <w:t>É</w:t>
      </w:r>
      <w:r w:rsidRPr="00917813">
        <w:rPr>
          <w:bCs/>
        </w:rPr>
        <w:t xml:space="preserve"> </w:t>
      </w:r>
      <w:proofErr w:type="gramStart"/>
      <w:r w:rsidRPr="00917813">
        <w:rPr>
          <w:bCs/>
        </w:rPr>
        <w:t xml:space="preserve">necessário </w:t>
      </w:r>
      <w:r w:rsidRPr="00917813">
        <w:t>mais trabalhos que relacionem a eficácia da vacina</w:t>
      </w:r>
      <w:proofErr w:type="gramEnd"/>
      <w:r w:rsidRPr="00917813">
        <w:t xml:space="preserve"> contra VHB a tabagismo, obesidade, atividade sexual, diabetes, insuficiência renal, HIV</w:t>
      </w:r>
      <w:r w:rsidRPr="007C1A0E">
        <w:t>.</w:t>
      </w:r>
    </w:p>
    <w:p w14:paraId="1872A952" w14:textId="77777777" w:rsidR="008E01D4" w:rsidRPr="008E01D4" w:rsidRDefault="008E01D4" w:rsidP="008E01D4">
      <w:pPr>
        <w:pStyle w:val="Default"/>
        <w:jc w:val="both"/>
        <w:rPr>
          <w:color w:val="auto"/>
        </w:rPr>
      </w:pPr>
    </w:p>
    <w:p w14:paraId="01D67560" w14:textId="7AA6BB6C" w:rsidR="00886538" w:rsidRDefault="00AD0367" w:rsidP="00AF37F2">
      <w:pPr>
        <w:pStyle w:val="Ttulo1"/>
        <w:rPr>
          <w:rFonts w:cs="Arial"/>
          <w:szCs w:val="24"/>
        </w:rPr>
      </w:pPr>
      <w:r w:rsidRPr="007C1A0E">
        <w:rPr>
          <w:rFonts w:cs="Arial"/>
          <w:szCs w:val="24"/>
        </w:rPr>
        <w:t>Palavras chave:</w:t>
      </w:r>
      <w:r w:rsidR="008F7B92">
        <w:rPr>
          <w:rFonts w:cs="Arial"/>
          <w:szCs w:val="24"/>
        </w:rPr>
        <w:t xml:space="preserve"> </w:t>
      </w:r>
      <w:r w:rsidR="007C1A0E" w:rsidRPr="007C1A0E">
        <w:rPr>
          <w:rFonts w:cs="Arial"/>
          <w:szCs w:val="24"/>
        </w:rPr>
        <w:t>Biossegurança, Hepatite B, Profissionais de Saúde.</w:t>
      </w:r>
    </w:p>
    <w:p w14:paraId="46A946C0" w14:textId="77777777" w:rsidR="00191D35" w:rsidRDefault="00191D35" w:rsidP="00AF37F2">
      <w:pPr>
        <w:pStyle w:val="Ttulo1"/>
      </w:pPr>
    </w:p>
    <w:p w14:paraId="7599F3C8" w14:textId="47133371" w:rsidR="006A20CA" w:rsidRPr="008F7B92" w:rsidRDefault="00AD0367" w:rsidP="00AF37F2">
      <w:pPr>
        <w:pStyle w:val="Ttulo1"/>
        <w:rPr>
          <w:lang w:val="en-US"/>
        </w:rPr>
      </w:pPr>
      <w:r w:rsidRPr="008F7B92">
        <w:rPr>
          <w:lang w:val="en-US"/>
        </w:rPr>
        <w:t>ABSTRACT</w:t>
      </w:r>
    </w:p>
    <w:p w14:paraId="2E2A366B" w14:textId="621776ED" w:rsidR="007C1A0E" w:rsidRPr="007C1A0E" w:rsidRDefault="007C1A0E" w:rsidP="008E01D4">
      <w:pPr>
        <w:spacing w:after="0" w:line="240" w:lineRule="auto"/>
        <w:jc w:val="both"/>
        <w:rPr>
          <w:rFonts w:ascii="Arial" w:eastAsia="Times New Roman" w:hAnsi="Arial" w:cs="Arial"/>
          <w:sz w:val="24"/>
          <w:szCs w:val="24"/>
          <w:lang w:val="en-US" w:eastAsia="pt-BR"/>
        </w:rPr>
      </w:pPr>
      <w:r w:rsidRPr="007C1A0E">
        <w:rPr>
          <w:rFonts w:ascii="Arial" w:eastAsia="Times New Roman" w:hAnsi="Arial" w:cs="Arial"/>
          <w:sz w:val="24"/>
          <w:szCs w:val="24"/>
          <w:lang w:val="en-US" w:eastAsia="pt-BR"/>
        </w:rPr>
        <w:t xml:space="preserve">Hepatitis B is a contagious illness that affects the liver. It can cause fever, muscle pain, nausea and vomiting, anorexia, headache, </w:t>
      </w:r>
      <w:proofErr w:type="spellStart"/>
      <w:r w:rsidRPr="007C1A0E">
        <w:rPr>
          <w:rFonts w:ascii="Arial" w:eastAsia="Times New Roman" w:hAnsi="Arial" w:cs="Arial"/>
          <w:sz w:val="24"/>
          <w:szCs w:val="24"/>
          <w:lang w:val="en-US" w:eastAsia="pt-BR"/>
        </w:rPr>
        <w:t>choluria</w:t>
      </w:r>
      <w:proofErr w:type="spellEnd"/>
      <w:r w:rsidRPr="007C1A0E">
        <w:rPr>
          <w:rFonts w:ascii="Arial" w:eastAsia="Times New Roman" w:hAnsi="Arial" w:cs="Arial"/>
          <w:sz w:val="24"/>
          <w:szCs w:val="24"/>
          <w:lang w:val="en-US" w:eastAsia="pt-BR"/>
        </w:rPr>
        <w:t xml:space="preserve">, </w:t>
      </w:r>
      <w:proofErr w:type="spellStart"/>
      <w:r w:rsidRPr="007C1A0E">
        <w:rPr>
          <w:rFonts w:ascii="Arial" w:eastAsia="Times New Roman" w:hAnsi="Arial" w:cs="Arial"/>
          <w:sz w:val="24"/>
          <w:szCs w:val="24"/>
          <w:lang w:val="en-US" w:eastAsia="pt-BR"/>
        </w:rPr>
        <w:t>hypocolia</w:t>
      </w:r>
      <w:proofErr w:type="spellEnd"/>
      <w:r w:rsidRPr="007C1A0E">
        <w:rPr>
          <w:rFonts w:ascii="Arial" w:eastAsia="Times New Roman" w:hAnsi="Arial" w:cs="Arial"/>
          <w:sz w:val="24"/>
          <w:szCs w:val="24"/>
          <w:lang w:val="en-US" w:eastAsia="pt-BR"/>
        </w:rPr>
        <w:t xml:space="preserve">, jaundice, cirrhosis, edema, esophageal varices. It is mostly known for its form of transmission through sexual activity, but it can also be transmitted through; transfusion, syringes, poorly sterilized instruments, childbirth, or occupational exposure. Health </w:t>
      </w:r>
      <w:r w:rsidRPr="007C1A0E">
        <w:rPr>
          <w:rFonts w:ascii="Arial" w:eastAsia="Times New Roman" w:hAnsi="Arial" w:cs="Arial"/>
          <w:sz w:val="24"/>
          <w:szCs w:val="24"/>
          <w:lang w:val="en-US" w:eastAsia="pt-BR"/>
        </w:rPr>
        <w:lastRenderedPageBreak/>
        <w:t>professionals are at risk for acquiring the Hepatitis B virus (HBV). Among the protective measures, vaccination stands out. There are immune incompetent individuals to effectively combat HBV.</w:t>
      </w:r>
      <w:r w:rsidR="008F7B92">
        <w:rPr>
          <w:rFonts w:ascii="Arial" w:eastAsia="Times New Roman" w:hAnsi="Arial" w:cs="Arial"/>
          <w:sz w:val="24"/>
          <w:szCs w:val="24"/>
          <w:lang w:val="en-US" w:eastAsia="pt-BR"/>
        </w:rPr>
        <w:t xml:space="preserve"> </w:t>
      </w:r>
      <w:r w:rsidRPr="007C1A0E">
        <w:rPr>
          <w:rFonts w:ascii="Arial" w:eastAsia="Times New Roman" w:hAnsi="Arial" w:cs="Arial"/>
          <w:sz w:val="24"/>
          <w:szCs w:val="24"/>
          <w:lang w:val="en-US" w:eastAsia="pt-BR"/>
        </w:rPr>
        <w:t>This study is a retrospective quantitative descriptive study that assesses the immune response against Hepatitis B (Anti-HBs) in healthcare professionals. The effectiveness of immunization in males was 90.48%, in females it was 100%. Regarding age, 94.12% of those between 18 and 29 years old were protected; in the range between 30 and 39 years, 97.93%; in the group over 40, 95.92%. In total, 96.43% (108) showed reagent Anti-HBs, and 3.57% (4) non-reagent results. Female gender and advanced age had a negative influence on the immunogenic capacity of the vaccines. More work is needed to link the effectiveness of the HBV vaccine to smoking, obesity, sexual activity, diabetes mellitus, kidney failure, HIV.</w:t>
      </w:r>
    </w:p>
    <w:p w14:paraId="24767CF7" w14:textId="77777777" w:rsidR="008E01D4" w:rsidRDefault="008E01D4" w:rsidP="007C1A0E">
      <w:pPr>
        <w:autoSpaceDE w:val="0"/>
        <w:autoSpaceDN w:val="0"/>
        <w:adjustRightInd w:val="0"/>
        <w:spacing w:after="0" w:line="240" w:lineRule="auto"/>
        <w:jc w:val="both"/>
        <w:rPr>
          <w:rFonts w:ascii="Arial" w:hAnsi="Arial" w:cs="Arial"/>
          <w:b/>
          <w:sz w:val="24"/>
          <w:szCs w:val="24"/>
          <w:lang w:val="en-US"/>
        </w:rPr>
      </w:pPr>
    </w:p>
    <w:p w14:paraId="70A4DE41" w14:textId="77777777" w:rsidR="007C1A0E" w:rsidRPr="007C1A0E" w:rsidRDefault="00AD0367" w:rsidP="007C1A0E">
      <w:pPr>
        <w:autoSpaceDE w:val="0"/>
        <w:autoSpaceDN w:val="0"/>
        <w:adjustRightInd w:val="0"/>
        <w:spacing w:after="0" w:line="240" w:lineRule="auto"/>
        <w:jc w:val="both"/>
        <w:rPr>
          <w:rFonts w:ascii="Arial" w:hAnsi="Arial" w:cs="Arial"/>
          <w:sz w:val="24"/>
          <w:szCs w:val="24"/>
          <w:lang w:val="en-US"/>
        </w:rPr>
      </w:pPr>
      <w:proofErr w:type="spellStart"/>
      <w:proofErr w:type="gramStart"/>
      <w:r w:rsidRPr="007C1A0E">
        <w:rPr>
          <w:rFonts w:ascii="Arial" w:hAnsi="Arial" w:cs="Arial"/>
          <w:b/>
          <w:sz w:val="24"/>
          <w:szCs w:val="24"/>
          <w:lang w:val="en-US"/>
        </w:rPr>
        <w:t>Keywords:</w:t>
      </w:r>
      <w:r w:rsidR="007C1A0E" w:rsidRPr="007C1A0E">
        <w:rPr>
          <w:rFonts w:ascii="Arial" w:eastAsia="Times New Roman" w:hAnsi="Arial" w:cs="Arial"/>
          <w:sz w:val="24"/>
          <w:szCs w:val="24"/>
          <w:lang w:val="en-US" w:eastAsia="pt-BR"/>
        </w:rPr>
        <w:t>Biosafety</w:t>
      </w:r>
      <w:proofErr w:type="spellEnd"/>
      <w:proofErr w:type="gramEnd"/>
      <w:r w:rsidR="007C1A0E" w:rsidRPr="007C1A0E">
        <w:rPr>
          <w:rFonts w:ascii="Arial" w:eastAsia="Times New Roman" w:hAnsi="Arial" w:cs="Arial"/>
          <w:sz w:val="24"/>
          <w:szCs w:val="24"/>
          <w:lang w:val="en-US" w:eastAsia="pt-BR"/>
        </w:rPr>
        <w:t>, Hepatitis B, Health Professionals.</w:t>
      </w:r>
    </w:p>
    <w:p w14:paraId="7FEF4B3C" w14:textId="7C28D0DC" w:rsidR="007C1A0E" w:rsidRDefault="007C1A0E" w:rsidP="007C1A0E">
      <w:pPr>
        <w:autoSpaceDE w:val="0"/>
        <w:autoSpaceDN w:val="0"/>
        <w:adjustRightInd w:val="0"/>
        <w:spacing w:after="0" w:line="240" w:lineRule="auto"/>
        <w:jc w:val="both"/>
        <w:rPr>
          <w:rFonts w:ascii="Arial" w:hAnsi="Arial" w:cs="Arial"/>
          <w:sz w:val="24"/>
          <w:szCs w:val="24"/>
          <w:lang w:val="en-US"/>
        </w:rPr>
      </w:pPr>
    </w:p>
    <w:p w14:paraId="1A264518" w14:textId="55BF9C86" w:rsidR="00AD0367" w:rsidRPr="00444826" w:rsidRDefault="00AD0367" w:rsidP="0085080D">
      <w:pPr>
        <w:pStyle w:val="Ttulo1"/>
      </w:pPr>
      <w:r w:rsidRPr="00444826">
        <w:t>1INTRODUÇÃO</w:t>
      </w:r>
    </w:p>
    <w:p w14:paraId="49356CC8" w14:textId="77777777" w:rsidR="00AD0367" w:rsidRPr="00444826" w:rsidRDefault="00AD0367" w:rsidP="00CD3247">
      <w:pPr>
        <w:spacing w:after="0" w:line="360" w:lineRule="auto"/>
        <w:ind w:firstLine="709"/>
        <w:jc w:val="both"/>
        <w:rPr>
          <w:rFonts w:ascii="Arial" w:hAnsi="Arial" w:cs="Arial"/>
          <w:b/>
          <w:sz w:val="24"/>
          <w:szCs w:val="24"/>
        </w:rPr>
      </w:pPr>
    </w:p>
    <w:p w14:paraId="219AFDF0" w14:textId="77777777" w:rsidR="007C1A0E" w:rsidRPr="007D05CE" w:rsidRDefault="007C1A0E">
      <w:pPr>
        <w:pStyle w:val="Pa13"/>
        <w:spacing w:line="360" w:lineRule="auto"/>
        <w:ind w:firstLine="709"/>
        <w:jc w:val="both"/>
        <w:rPr>
          <w:rFonts w:ascii="Arial" w:hAnsi="Arial" w:cs="Arial"/>
        </w:rPr>
      </w:pPr>
      <w:r w:rsidRPr="007D05CE">
        <w:rPr>
          <w:rFonts w:ascii="Arial" w:hAnsi="Arial" w:cs="Arial"/>
          <w:bCs/>
        </w:rPr>
        <w:t xml:space="preserve">A Hepatite B (HB) é uma doença infecto contagiosa de origem viral que acomete principalmente o fígado e pode manifestar-se em forma sintomática ou assintomática, aguda ou crônica. </w:t>
      </w:r>
      <w:r w:rsidRPr="007D05CE">
        <w:rPr>
          <w:rFonts w:ascii="Arial" w:hAnsi="Arial" w:cs="Arial"/>
        </w:rPr>
        <w:t xml:space="preserve">O agente etiológico é o </w:t>
      </w:r>
      <w:proofErr w:type="spellStart"/>
      <w:r w:rsidRPr="007D05CE">
        <w:rPr>
          <w:rFonts w:ascii="Arial" w:hAnsi="Arial" w:cs="Arial"/>
        </w:rPr>
        <w:t>hepatovirus</w:t>
      </w:r>
      <w:proofErr w:type="spellEnd"/>
      <w:r w:rsidRPr="007D05CE">
        <w:rPr>
          <w:rFonts w:ascii="Arial" w:hAnsi="Arial" w:cs="Arial"/>
        </w:rPr>
        <w:t xml:space="preserve"> da família </w:t>
      </w:r>
      <w:proofErr w:type="spellStart"/>
      <w:r w:rsidRPr="007D05CE">
        <w:rPr>
          <w:rFonts w:ascii="Arial" w:hAnsi="Arial" w:cs="Arial"/>
        </w:rPr>
        <w:t>hepadnaviridae</w:t>
      </w:r>
      <w:proofErr w:type="spellEnd"/>
      <w:r w:rsidRPr="007D05CE">
        <w:rPr>
          <w:rFonts w:ascii="Arial" w:hAnsi="Arial" w:cs="Arial"/>
        </w:rPr>
        <w:t>, cujo período de incubação varia de 30 a 180 dias.¹</w:t>
      </w:r>
    </w:p>
    <w:p w14:paraId="520CAC64" w14:textId="77777777" w:rsidR="007C1A0E" w:rsidRPr="007D05CE" w:rsidRDefault="007C1A0E">
      <w:pPr>
        <w:pStyle w:val="Default"/>
        <w:spacing w:line="360" w:lineRule="auto"/>
        <w:ind w:firstLine="709"/>
        <w:jc w:val="both"/>
        <w:rPr>
          <w:color w:val="auto"/>
        </w:rPr>
      </w:pPr>
      <w:r w:rsidRPr="007D05CE">
        <w:rPr>
          <w:color w:val="auto"/>
        </w:rPr>
        <w:t xml:space="preserve">Quando infectado pelo vírus da Hepatite B (VHB), o indivíduo pode apresentar sinais como febre, dor muscular, náuseas e vômitos, anorexia, cefaleia, sendo </w:t>
      </w:r>
      <w:proofErr w:type="spellStart"/>
      <w:r w:rsidRPr="007D05CE">
        <w:rPr>
          <w:color w:val="auto"/>
        </w:rPr>
        <w:t>esta</w:t>
      </w:r>
      <w:proofErr w:type="spellEnd"/>
      <w:r w:rsidRPr="007D05CE">
        <w:rPr>
          <w:color w:val="auto"/>
        </w:rPr>
        <w:t xml:space="preserve"> a fase prodrômica ou </w:t>
      </w:r>
      <w:proofErr w:type="spellStart"/>
      <w:r w:rsidRPr="007D05CE">
        <w:rPr>
          <w:color w:val="auto"/>
        </w:rPr>
        <w:t>pré</w:t>
      </w:r>
      <w:proofErr w:type="spellEnd"/>
      <w:r w:rsidRPr="007D05CE">
        <w:rPr>
          <w:color w:val="auto"/>
        </w:rPr>
        <w:t xml:space="preserve">-ictérica, caracterizando o quadro inicial da fase aguda da doença. Poderá surgir em seguida, icterícia em graus variáveis, </w:t>
      </w:r>
      <w:proofErr w:type="spellStart"/>
      <w:r w:rsidRPr="007D05CE">
        <w:rPr>
          <w:color w:val="auto"/>
        </w:rPr>
        <w:t>colúria</w:t>
      </w:r>
      <w:proofErr w:type="spellEnd"/>
      <w:r w:rsidRPr="007D05CE">
        <w:rPr>
          <w:color w:val="auto"/>
        </w:rPr>
        <w:t xml:space="preserve">, hipocolia, hepatomegalia. Caso a resposta inflamatória a nível hepático persista por mais de 180 dias, </w:t>
      </w:r>
      <w:r w:rsidR="00652B62" w:rsidRPr="007D05CE">
        <w:rPr>
          <w:color w:val="auto"/>
        </w:rPr>
        <w:t>pode ser</w:t>
      </w:r>
      <w:r w:rsidRPr="007D05CE">
        <w:rPr>
          <w:color w:val="auto"/>
        </w:rPr>
        <w:t xml:space="preserve"> que a </w:t>
      </w:r>
      <w:r w:rsidR="00652B62" w:rsidRPr="007D05CE">
        <w:rPr>
          <w:color w:val="auto"/>
        </w:rPr>
        <w:t xml:space="preserve">doença esteja evoluindo em direção à </w:t>
      </w:r>
      <w:r w:rsidRPr="007D05CE">
        <w:rPr>
          <w:color w:val="auto"/>
        </w:rPr>
        <w:t>forma crônica, podendo persistir os sintomas digestivos, fadiga e, em situações mais graves, icterícia, cirrose, edema, varizes esofágicas, dentre outras.¹</w:t>
      </w:r>
    </w:p>
    <w:p w14:paraId="4B3E47C0" w14:textId="77777777" w:rsidR="00415A26" w:rsidRPr="007D05CE" w:rsidRDefault="007C1A0E">
      <w:pPr>
        <w:spacing w:after="0" w:line="360" w:lineRule="auto"/>
        <w:ind w:firstLine="709"/>
        <w:jc w:val="both"/>
        <w:rPr>
          <w:rFonts w:ascii="Arial" w:eastAsia="Times New Roman" w:hAnsi="Arial" w:cs="Arial"/>
          <w:sz w:val="24"/>
          <w:szCs w:val="24"/>
        </w:rPr>
      </w:pPr>
      <w:r w:rsidRPr="007D05CE">
        <w:rPr>
          <w:rFonts w:ascii="Arial" w:eastAsia="Times New Roman" w:hAnsi="Arial" w:cs="Arial"/>
          <w:sz w:val="24"/>
          <w:szCs w:val="24"/>
        </w:rPr>
        <w:t xml:space="preserve">Marcadores de agressão hepatocelular inespecíficos, como a </w:t>
      </w:r>
      <w:proofErr w:type="spellStart"/>
      <w:r w:rsidRPr="007D05CE">
        <w:rPr>
          <w:rFonts w:ascii="Arial" w:eastAsia="Times New Roman" w:hAnsi="Arial" w:cs="Arial"/>
          <w:sz w:val="24"/>
          <w:szCs w:val="24"/>
        </w:rPr>
        <w:t>aspartatoaminotransferase</w:t>
      </w:r>
      <w:proofErr w:type="spellEnd"/>
      <w:r w:rsidRPr="007D05CE">
        <w:rPr>
          <w:rFonts w:ascii="Arial" w:eastAsia="Times New Roman" w:hAnsi="Arial" w:cs="Arial"/>
          <w:sz w:val="24"/>
          <w:szCs w:val="24"/>
        </w:rPr>
        <w:t xml:space="preserve"> (AST/TGO) e a </w:t>
      </w:r>
      <w:proofErr w:type="spellStart"/>
      <w:r w:rsidRPr="007D05CE">
        <w:rPr>
          <w:rFonts w:ascii="Arial" w:eastAsia="Times New Roman" w:hAnsi="Arial" w:cs="Arial"/>
          <w:sz w:val="24"/>
          <w:szCs w:val="24"/>
        </w:rPr>
        <w:t>alaninoaminotransferase</w:t>
      </w:r>
      <w:proofErr w:type="spellEnd"/>
      <w:r w:rsidRPr="007D05CE">
        <w:rPr>
          <w:rFonts w:ascii="Arial" w:eastAsia="Times New Roman" w:hAnsi="Arial" w:cs="Arial"/>
          <w:sz w:val="24"/>
          <w:szCs w:val="24"/>
        </w:rPr>
        <w:t xml:space="preserve"> (ALT/TGP) podem ser encontrados em valores até 100 vezes acima do normal na fase aguda,² embora alguns pacientes possam apresentar ALT/TGP persistentemente normais.³ </w:t>
      </w:r>
      <w:r w:rsidR="00BE4179" w:rsidRPr="007D05CE">
        <w:rPr>
          <w:rFonts w:ascii="Arial" w:eastAsia="Times New Roman" w:hAnsi="Arial" w:cs="Arial"/>
          <w:sz w:val="24"/>
          <w:szCs w:val="24"/>
        </w:rPr>
        <w:t xml:space="preserve">Este </w:t>
      </w:r>
      <w:r w:rsidRPr="007D05CE">
        <w:rPr>
          <w:rFonts w:ascii="Arial" w:eastAsia="Times New Roman" w:hAnsi="Arial" w:cs="Arial"/>
          <w:sz w:val="24"/>
          <w:szCs w:val="24"/>
        </w:rPr>
        <w:t xml:space="preserve">pode ser o único exame laboratorial </w:t>
      </w:r>
      <w:r w:rsidR="00BE4179" w:rsidRPr="007D05CE">
        <w:rPr>
          <w:rFonts w:ascii="Arial" w:eastAsia="Times New Roman" w:hAnsi="Arial" w:cs="Arial"/>
          <w:sz w:val="24"/>
          <w:szCs w:val="24"/>
        </w:rPr>
        <w:t>indicativo</w:t>
      </w:r>
      <w:r w:rsidRPr="007D05CE">
        <w:rPr>
          <w:rFonts w:ascii="Arial" w:eastAsia="Times New Roman" w:hAnsi="Arial" w:cs="Arial"/>
          <w:sz w:val="24"/>
          <w:szCs w:val="24"/>
        </w:rPr>
        <w:t xml:space="preserve"> de doença hepática</w:t>
      </w:r>
      <w:r w:rsidR="00BE4179" w:rsidRPr="007D05CE">
        <w:rPr>
          <w:rFonts w:ascii="Arial" w:eastAsia="Times New Roman" w:hAnsi="Arial" w:cs="Arial"/>
          <w:sz w:val="24"/>
          <w:szCs w:val="24"/>
        </w:rPr>
        <w:t xml:space="preserve"> em pessoas assintomáticas</w:t>
      </w:r>
      <w:r w:rsidRPr="007D05CE">
        <w:rPr>
          <w:rFonts w:ascii="Arial" w:eastAsia="Times New Roman" w:hAnsi="Arial" w:cs="Arial"/>
          <w:sz w:val="24"/>
          <w:szCs w:val="24"/>
        </w:rPr>
        <w:t xml:space="preserve">. Já as Bilirrubinas elevam-se somente após o aumento das </w:t>
      </w:r>
      <w:proofErr w:type="spellStart"/>
      <w:r w:rsidRPr="007D05CE">
        <w:rPr>
          <w:rFonts w:ascii="Arial" w:eastAsia="Times New Roman" w:hAnsi="Arial" w:cs="Arial"/>
          <w:sz w:val="24"/>
          <w:szCs w:val="24"/>
        </w:rPr>
        <w:t>aminotransferases</w:t>
      </w:r>
      <w:proofErr w:type="spellEnd"/>
      <w:r w:rsidRPr="007D05CE">
        <w:rPr>
          <w:rFonts w:ascii="Arial" w:eastAsia="Times New Roman" w:hAnsi="Arial" w:cs="Arial"/>
          <w:sz w:val="24"/>
          <w:szCs w:val="24"/>
        </w:rPr>
        <w:t>, sendo associadas frequentemente à manifestação de icterícia. Para o diagnóstico seguro da doença, é aconselhável a pesquisa de marcadores específico</w:t>
      </w:r>
      <w:r w:rsidR="00220AAC">
        <w:rPr>
          <w:rFonts w:ascii="Arial" w:eastAsia="Times New Roman" w:hAnsi="Arial" w:cs="Arial"/>
          <w:sz w:val="24"/>
          <w:szCs w:val="24"/>
        </w:rPr>
        <w:t xml:space="preserve">s, como o antígeno </w:t>
      </w:r>
      <w:proofErr w:type="spellStart"/>
      <w:r w:rsidR="00220AAC">
        <w:rPr>
          <w:rFonts w:ascii="Arial" w:eastAsia="Times New Roman" w:hAnsi="Arial" w:cs="Arial"/>
          <w:sz w:val="24"/>
          <w:szCs w:val="24"/>
        </w:rPr>
        <w:t>HBs</w:t>
      </w:r>
      <w:proofErr w:type="spellEnd"/>
      <w:r w:rsidR="00220AAC">
        <w:rPr>
          <w:rFonts w:ascii="Arial" w:eastAsia="Times New Roman" w:hAnsi="Arial" w:cs="Arial"/>
          <w:sz w:val="24"/>
          <w:szCs w:val="24"/>
        </w:rPr>
        <w:t xml:space="preserve"> (</w:t>
      </w:r>
      <w:proofErr w:type="spellStart"/>
      <w:r w:rsidR="00220AAC">
        <w:rPr>
          <w:rFonts w:ascii="Arial" w:eastAsia="Times New Roman" w:hAnsi="Arial" w:cs="Arial"/>
          <w:sz w:val="24"/>
          <w:szCs w:val="24"/>
        </w:rPr>
        <w:t>HBsAg</w:t>
      </w:r>
      <w:proofErr w:type="spellEnd"/>
      <w:r w:rsidR="00220AAC">
        <w:rPr>
          <w:rFonts w:ascii="Arial" w:eastAsia="Times New Roman" w:hAnsi="Arial" w:cs="Arial"/>
          <w:sz w:val="24"/>
          <w:szCs w:val="24"/>
        </w:rPr>
        <w:t xml:space="preserve">). </w:t>
      </w:r>
      <w:r w:rsidR="00220AAC" w:rsidRPr="00220AAC">
        <w:rPr>
          <w:rFonts w:ascii="Arial" w:eastAsia="Times New Roman" w:hAnsi="Arial" w:cs="Arial"/>
          <w:sz w:val="24"/>
          <w:szCs w:val="24"/>
          <w:vertAlign w:val="superscript"/>
        </w:rPr>
        <w:t>2,3</w:t>
      </w:r>
    </w:p>
    <w:p w14:paraId="3454F229" w14:textId="0B720434" w:rsidR="008842F5" w:rsidRDefault="005779C7" w:rsidP="00303672">
      <w:pPr>
        <w:pStyle w:val="Default"/>
        <w:spacing w:line="360" w:lineRule="auto"/>
        <w:ind w:firstLine="709"/>
        <w:jc w:val="both"/>
      </w:pPr>
      <w:r>
        <w:lastRenderedPageBreak/>
        <w:t xml:space="preserve">Sob o ponto de vista histológico, o fígado comprometido por hepatite aguda pode, em casos extremos, retrair-se para 500-700 g e se transformar em um órgão vermelho, </w:t>
      </w:r>
      <w:proofErr w:type="spellStart"/>
      <w:r>
        <w:t>ﬂácido</w:t>
      </w:r>
      <w:proofErr w:type="spellEnd"/>
      <w:r>
        <w:t>, coberto por uma cápsula grande e enrugada. O fígado inteiro pode ser comprometido ou apenas áreas aleatórias. Ao corte, as áreas necróticas têm aparência como barro vermelho e mole. Caso o paciente sobreviva e o arcabouço parenquimatoso for preservado, ocorre regeneração tecidual ordenada, e a arquitetura hepática é restaurada. Caso a destruição seja maciça, a regeneração é desordenada, produzindo massas nodulares de células hepáticas. Microscopicamente, a lesão do hepatócito pode assumir a característica de tumefação (</w:t>
      </w:r>
      <w:proofErr w:type="spellStart"/>
      <w:r>
        <w:t>balonização</w:t>
      </w:r>
      <w:proofErr w:type="spellEnd"/>
      <w:r>
        <w:t xml:space="preserve">), que produz células com citoplasma aparentemente vazio e em sequência se rompem e entram em processo de </w:t>
      </w:r>
      <w:proofErr w:type="spellStart"/>
      <w:r>
        <w:t>citólise</w:t>
      </w:r>
      <w:proofErr w:type="spellEnd"/>
      <w:r>
        <w:t xml:space="preserve">. </w:t>
      </w:r>
      <w:r w:rsidR="008842F5">
        <w:rPr>
          <w:vertAlign w:val="superscript"/>
        </w:rPr>
        <w:t>4</w:t>
      </w:r>
    </w:p>
    <w:p w14:paraId="2F537F45" w14:textId="3259A67E" w:rsidR="005779C7" w:rsidRDefault="005779C7" w:rsidP="00303672">
      <w:pPr>
        <w:pStyle w:val="Default"/>
        <w:spacing w:line="360" w:lineRule="auto"/>
        <w:ind w:firstLine="709"/>
        <w:jc w:val="both"/>
        <w:rPr>
          <w:vertAlign w:val="superscript"/>
        </w:rPr>
      </w:pPr>
      <w:r>
        <w:t xml:space="preserve">Os hepatócitos também podem retrair, tornando-se </w:t>
      </w:r>
      <w:proofErr w:type="spellStart"/>
      <w:r>
        <w:t>eosinofílicos</w:t>
      </w:r>
      <w:proofErr w:type="spellEnd"/>
      <w:r>
        <w:t xml:space="preserve"> e com núcleos fragmentados. Nos casos graves, uma necrose </w:t>
      </w:r>
      <w:proofErr w:type="spellStart"/>
      <w:r>
        <w:t>conﬂuente</w:t>
      </w:r>
      <w:proofErr w:type="spellEnd"/>
      <w:r>
        <w:t xml:space="preserve"> dos hepatócitos é vista ao redor das veias centrais. São também alterações parenquimatosas observáveis na Hepatite B: desarranjo lobular, acúmulo de detritos celulares fagocitados nas células de </w:t>
      </w:r>
      <w:proofErr w:type="spellStart"/>
      <w:r>
        <w:t>Kupffer</w:t>
      </w:r>
      <w:proofErr w:type="spellEnd"/>
      <w:r>
        <w:t xml:space="preserve">, hepatócitos “em vidro despolido” (acúmulo de </w:t>
      </w:r>
      <w:proofErr w:type="spellStart"/>
      <w:r>
        <w:t>HBsAg</w:t>
      </w:r>
      <w:proofErr w:type="spellEnd"/>
      <w:r>
        <w:t>).</w:t>
      </w:r>
      <w:r>
        <w:rPr>
          <w:vertAlign w:val="superscript"/>
        </w:rPr>
        <w:t>4</w:t>
      </w:r>
    </w:p>
    <w:p w14:paraId="314650D6" w14:textId="77777777" w:rsidR="005779C7" w:rsidRPr="005779C7" w:rsidRDefault="002564BF" w:rsidP="00303672">
      <w:pPr>
        <w:pStyle w:val="Default"/>
        <w:spacing w:line="360" w:lineRule="auto"/>
        <w:ind w:firstLine="709"/>
        <w:jc w:val="both"/>
        <w:rPr>
          <w:color w:val="auto"/>
        </w:rPr>
      </w:pPr>
      <w:r>
        <w:t>Os meios de transmissão conhecidos do VHB são a via sexual, transfusional, compartilhamento de seringas e instrumentais (cirúrgicos e estéticos invasivos) mal esterilizados, parto normal, acidentes ocupacionais com exposição a material biológico.¹</w:t>
      </w:r>
    </w:p>
    <w:p w14:paraId="7197E241" w14:textId="77777777" w:rsidR="002564BF" w:rsidRPr="002564BF" w:rsidRDefault="002564BF" w:rsidP="00303672">
      <w:pPr>
        <w:pStyle w:val="Default"/>
        <w:spacing w:line="360" w:lineRule="auto"/>
        <w:ind w:firstLine="709"/>
        <w:jc w:val="both"/>
      </w:pPr>
      <w:r w:rsidRPr="002564BF">
        <w:t xml:space="preserve">Em exposições ocupacionais, o risco de contaminação pelo VHB está condicionado ao grau de exposição ao fluido corpóreo, ao tipo de fluido (sangue e </w:t>
      </w:r>
      <w:proofErr w:type="spellStart"/>
      <w:r w:rsidRPr="002564BF">
        <w:t>liquor</w:t>
      </w:r>
      <w:proofErr w:type="spellEnd"/>
      <w:r w:rsidRPr="002564BF">
        <w:t xml:space="preserve">), e à presença do antígeno </w:t>
      </w:r>
      <w:proofErr w:type="spellStart"/>
      <w:r w:rsidRPr="002564BF">
        <w:t>HBsAg</w:t>
      </w:r>
      <w:proofErr w:type="spellEnd"/>
      <w:r w:rsidRPr="002564BF">
        <w:t xml:space="preserve"> ou </w:t>
      </w:r>
      <w:proofErr w:type="spellStart"/>
      <w:r w:rsidRPr="002564BF">
        <w:t>HBeAg</w:t>
      </w:r>
      <w:proofErr w:type="spellEnd"/>
      <w:r w:rsidRPr="002564BF">
        <w:t xml:space="preserve"> no paciente-fonte.¹</w:t>
      </w:r>
    </w:p>
    <w:p w14:paraId="6ACFC083" w14:textId="77777777" w:rsidR="00303672" w:rsidRDefault="00303672" w:rsidP="00303672">
      <w:pPr>
        <w:pStyle w:val="Default"/>
        <w:spacing w:line="360" w:lineRule="auto"/>
        <w:ind w:firstLine="709"/>
        <w:jc w:val="both"/>
        <w:rPr>
          <w:color w:val="auto"/>
        </w:rPr>
      </w:pPr>
      <w:r w:rsidRPr="007D05CE">
        <w:rPr>
          <w:color w:val="auto"/>
        </w:rPr>
        <w:t>Este estudo tem como objetivo geral: investigar os níveis séricos dos anticorpos (</w:t>
      </w:r>
      <w:proofErr w:type="spellStart"/>
      <w:r w:rsidRPr="007D05CE">
        <w:rPr>
          <w:color w:val="auto"/>
        </w:rPr>
        <w:t>Anti-Hbs</w:t>
      </w:r>
      <w:proofErr w:type="spellEnd"/>
      <w:r w:rsidRPr="007D05CE">
        <w:rPr>
          <w:color w:val="auto"/>
        </w:rPr>
        <w:t>) contra o Ag-HBS (VHB) em profissionais de saúde do Bloco Cirúrgico de um hospital público de Minas Gerais; o objetivo específico será determinar o quão protegida contra o VHB está a equipe de saúde do setor supracitado, propondo estratégias para melhoria do quadro identificado, caso se mostre necessário, por meio da oferta de esquema vacinal contra o VHB e verificação de sua eficácia.</w:t>
      </w:r>
    </w:p>
    <w:p w14:paraId="3F1946D1" w14:textId="77777777" w:rsidR="004F6EFD" w:rsidRDefault="00CD2292">
      <w:pPr>
        <w:pStyle w:val="Default"/>
        <w:spacing w:line="360" w:lineRule="auto"/>
        <w:ind w:firstLine="709"/>
        <w:jc w:val="both"/>
        <w:rPr>
          <w:rStyle w:val="A7"/>
          <w:rFonts w:ascii="Arial" w:hAnsi="Arial" w:cs="Arial"/>
          <w:color w:val="auto"/>
          <w:sz w:val="24"/>
          <w:szCs w:val="24"/>
          <w:vertAlign w:val="superscript"/>
        </w:rPr>
      </w:pPr>
      <w:r w:rsidRPr="00CD2292">
        <w:rPr>
          <w:color w:val="auto"/>
        </w:rPr>
        <w:t xml:space="preserve">Com base em casos documentados de transmissão ocupacional do VHB, os profissionais de saúde são considerados de risco para adquirir ou transmitir o VHB, o que justifica a execução e divulgação de pesquisas nesta área. </w:t>
      </w:r>
      <w:r w:rsidRPr="00CD2292">
        <w:rPr>
          <w:rStyle w:val="A7"/>
          <w:rFonts w:ascii="Arial" w:hAnsi="Arial" w:cs="Arial"/>
          <w:color w:val="auto"/>
          <w:sz w:val="24"/>
          <w:szCs w:val="24"/>
        </w:rPr>
        <w:t xml:space="preserve">Ademais, o </w:t>
      </w:r>
      <w:r w:rsidRPr="00CD2292">
        <w:rPr>
          <w:rStyle w:val="A7"/>
          <w:rFonts w:ascii="Arial" w:hAnsi="Arial" w:cs="Arial"/>
          <w:color w:val="auto"/>
          <w:sz w:val="24"/>
          <w:szCs w:val="24"/>
        </w:rPr>
        <w:lastRenderedPageBreak/>
        <w:t xml:space="preserve">vacinado nem sempre está protegido contra o VHB, pois mesmo depois de concluído o esquema vacinal contra a HB, ele pode continuar sendo susceptível à doença. Sendo assim, os trabalhadores expostos precisam, além do esquema vacinal completo, verificar a eficácia da vacina por meio da realização de exame </w:t>
      </w:r>
      <w:r w:rsidR="00303672" w:rsidRPr="007D05CE">
        <w:rPr>
          <w:color w:val="auto"/>
        </w:rPr>
        <w:t>sorológico que confirme o desenvolvimento de anticorpos suficientes contra o VHB</w:t>
      </w:r>
      <w:r w:rsidRPr="00CD2292">
        <w:rPr>
          <w:rStyle w:val="A7"/>
          <w:rFonts w:ascii="Arial" w:hAnsi="Arial" w:cs="Arial"/>
          <w:color w:val="auto"/>
          <w:sz w:val="24"/>
          <w:szCs w:val="24"/>
        </w:rPr>
        <w:t>.</w:t>
      </w:r>
      <w:r w:rsidR="002564BF" w:rsidRPr="002564BF">
        <w:rPr>
          <w:rStyle w:val="A7"/>
          <w:rFonts w:ascii="Arial" w:hAnsi="Arial" w:cs="Arial"/>
          <w:color w:val="auto"/>
          <w:sz w:val="24"/>
          <w:szCs w:val="24"/>
          <w:vertAlign w:val="superscript"/>
        </w:rPr>
        <w:t>5,</w:t>
      </w:r>
      <w:r w:rsidRPr="00CD2292">
        <w:rPr>
          <w:rStyle w:val="A7"/>
          <w:rFonts w:ascii="Arial" w:hAnsi="Arial" w:cs="Arial"/>
          <w:color w:val="auto"/>
          <w:sz w:val="24"/>
          <w:szCs w:val="24"/>
          <w:vertAlign w:val="superscript"/>
        </w:rPr>
        <w:t>6</w:t>
      </w:r>
    </w:p>
    <w:p w14:paraId="47BEA90D" w14:textId="77777777" w:rsidR="007C1A0E" w:rsidRDefault="007C1A0E" w:rsidP="00F501EA">
      <w:pPr>
        <w:tabs>
          <w:tab w:val="left" w:pos="3885"/>
        </w:tabs>
        <w:spacing w:after="0" w:line="360" w:lineRule="auto"/>
        <w:jc w:val="both"/>
        <w:rPr>
          <w:rFonts w:ascii="Arial" w:hAnsi="Arial" w:cs="Arial"/>
          <w:b/>
          <w:sz w:val="24"/>
          <w:szCs w:val="24"/>
        </w:rPr>
      </w:pPr>
    </w:p>
    <w:p w14:paraId="78682B7D" w14:textId="77777777" w:rsidR="00AD0367" w:rsidRPr="0085080D" w:rsidRDefault="00AD0367" w:rsidP="0085080D">
      <w:pPr>
        <w:pStyle w:val="Ttulo1"/>
      </w:pPr>
      <w:r w:rsidRPr="0085080D">
        <w:t xml:space="preserve">2 MATERIAL E MÉTODOS </w:t>
      </w:r>
      <w:r w:rsidRPr="0085080D">
        <w:tab/>
      </w:r>
    </w:p>
    <w:p w14:paraId="4F595D76" w14:textId="77777777" w:rsidR="006E03DB" w:rsidRPr="0085080D" w:rsidRDefault="006E03DB" w:rsidP="00CD3247">
      <w:pPr>
        <w:autoSpaceDE w:val="0"/>
        <w:autoSpaceDN w:val="0"/>
        <w:adjustRightInd w:val="0"/>
        <w:spacing w:after="0" w:line="360" w:lineRule="auto"/>
        <w:ind w:firstLine="709"/>
        <w:jc w:val="both"/>
        <w:rPr>
          <w:rFonts w:ascii="Arial" w:hAnsi="Arial" w:cs="Arial"/>
          <w:sz w:val="24"/>
          <w:szCs w:val="24"/>
        </w:rPr>
      </w:pPr>
    </w:p>
    <w:p w14:paraId="326345DE" w14:textId="538BA73C" w:rsidR="007C1A0E" w:rsidRPr="0085080D" w:rsidRDefault="007C1A0E" w:rsidP="00CD3247">
      <w:pPr>
        <w:autoSpaceDE w:val="0"/>
        <w:autoSpaceDN w:val="0"/>
        <w:adjustRightInd w:val="0"/>
        <w:spacing w:after="0" w:line="360" w:lineRule="auto"/>
        <w:ind w:firstLine="709"/>
        <w:jc w:val="both"/>
        <w:rPr>
          <w:rFonts w:ascii="Arial" w:hAnsi="Arial" w:cs="Arial"/>
          <w:sz w:val="24"/>
          <w:szCs w:val="24"/>
        </w:rPr>
      </w:pPr>
      <w:r w:rsidRPr="0085080D">
        <w:rPr>
          <w:rFonts w:ascii="Arial" w:hAnsi="Arial" w:cs="Arial"/>
          <w:sz w:val="24"/>
          <w:szCs w:val="24"/>
        </w:rPr>
        <w:t xml:space="preserve">Estudo descritivo quantitativo retrospectivo que </w:t>
      </w:r>
      <w:r w:rsidR="004323ED">
        <w:rPr>
          <w:rFonts w:ascii="Arial" w:hAnsi="Arial" w:cs="Arial"/>
          <w:sz w:val="24"/>
          <w:szCs w:val="24"/>
        </w:rPr>
        <w:t>abrangeu</w:t>
      </w:r>
      <w:r w:rsidRPr="0085080D">
        <w:rPr>
          <w:rFonts w:ascii="Arial" w:hAnsi="Arial" w:cs="Arial"/>
          <w:sz w:val="24"/>
          <w:szCs w:val="24"/>
        </w:rPr>
        <w:t xml:space="preserve"> 130 profissionais de saúde que atua</w:t>
      </w:r>
      <w:r w:rsidR="007D05CE">
        <w:rPr>
          <w:rFonts w:ascii="Arial" w:hAnsi="Arial" w:cs="Arial"/>
          <w:sz w:val="24"/>
          <w:szCs w:val="24"/>
        </w:rPr>
        <w:t>vam</w:t>
      </w:r>
      <w:r w:rsidR="008F7B92">
        <w:rPr>
          <w:rFonts w:ascii="Arial" w:hAnsi="Arial" w:cs="Arial"/>
          <w:sz w:val="24"/>
          <w:szCs w:val="24"/>
        </w:rPr>
        <w:t xml:space="preserve"> </w:t>
      </w:r>
      <w:r w:rsidRPr="0085080D">
        <w:rPr>
          <w:rFonts w:ascii="Arial" w:hAnsi="Arial" w:cs="Arial"/>
          <w:sz w:val="24"/>
          <w:szCs w:val="24"/>
        </w:rPr>
        <w:t xml:space="preserve">no Bloco Cirúrgico de um hospital público de Minas Gerais no mês de Dezembro de 2018. Destes, 53 técnicos de enfermagem, 63 médicos, 3 cirurgiões dentistas, 11 enfermeiros. Em relação ao gênero sexual biológico, </w:t>
      </w:r>
      <w:r w:rsidR="002564BF">
        <w:rPr>
          <w:rFonts w:ascii="Arial" w:hAnsi="Arial" w:cs="Arial"/>
          <w:sz w:val="24"/>
          <w:szCs w:val="24"/>
        </w:rPr>
        <w:t xml:space="preserve">foram </w:t>
      </w:r>
      <w:r w:rsidRPr="0085080D">
        <w:rPr>
          <w:rFonts w:ascii="Arial" w:hAnsi="Arial" w:cs="Arial"/>
          <w:sz w:val="24"/>
          <w:szCs w:val="24"/>
        </w:rPr>
        <w:t>46 homens e 84 mulheres.</w:t>
      </w:r>
    </w:p>
    <w:p w14:paraId="257C32DC" w14:textId="77777777" w:rsidR="007C1A0E" w:rsidRPr="0085080D" w:rsidRDefault="007C1A0E" w:rsidP="00CD3247">
      <w:pPr>
        <w:spacing w:after="0" w:line="360" w:lineRule="auto"/>
        <w:ind w:firstLine="709"/>
        <w:jc w:val="both"/>
        <w:rPr>
          <w:rFonts w:ascii="Arial" w:hAnsi="Arial" w:cs="Arial"/>
          <w:sz w:val="24"/>
          <w:szCs w:val="24"/>
        </w:rPr>
      </w:pPr>
      <w:r w:rsidRPr="0085080D">
        <w:rPr>
          <w:rFonts w:ascii="Arial" w:hAnsi="Arial" w:cs="Arial"/>
          <w:sz w:val="24"/>
          <w:szCs w:val="24"/>
        </w:rPr>
        <w:t>O levantamento das informações foi obtido a partir de dados compilados em planilha digital alimentada mensalmente pelo SESMT local (</w:t>
      </w:r>
      <w:r w:rsidRPr="0085080D">
        <w:rPr>
          <w:rStyle w:val="st"/>
          <w:rFonts w:ascii="Arial" w:hAnsi="Arial" w:cs="Arial"/>
          <w:sz w:val="24"/>
          <w:szCs w:val="24"/>
        </w:rPr>
        <w:t>Serviço Especializado em Engenharia de Segurança e em Medicina do Trabalho),</w:t>
      </w:r>
      <w:r w:rsidRPr="0085080D">
        <w:rPr>
          <w:rFonts w:ascii="Arial" w:hAnsi="Arial" w:cs="Arial"/>
          <w:sz w:val="24"/>
          <w:szCs w:val="24"/>
        </w:rPr>
        <w:t xml:space="preserve"> que monitora a dosagem de </w:t>
      </w:r>
      <w:proofErr w:type="spellStart"/>
      <w:r w:rsidRPr="0085080D">
        <w:rPr>
          <w:rFonts w:ascii="Arial" w:hAnsi="Arial" w:cs="Arial"/>
          <w:sz w:val="24"/>
          <w:szCs w:val="24"/>
        </w:rPr>
        <w:t>Anti-HBs</w:t>
      </w:r>
      <w:proofErr w:type="spellEnd"/>
      <w:r w:rsidRPr="0085080D">
        <w:rPr>
          <w:rFonts w:ascii="Arial" w:hAnsi="Arial" w:cs="Arial"/>
          <w:sz w:val="24"/>
          <w:szCs w:val="24"/>
        </w:rPr>
        <w:t xml:space="preserve"> por intermédio de avaliações médico-ocupacionais.</w:t>
      </w:r>
    </w:p>
    <w:p w14:paraId="28B7FA44" w14:textId="2F9B8569" w:rsidR="004323ED" w:rsidRDefault="007C1A0E" w:rsidP="00CD3247">
      <w:pPr>
        <w:spacing w:after="0" w:line="360" w:lineRule="auto"/>
        <w:ind w:firstLine="709"/>
        <w:jc w:val="both"/>
        <w:rPr>
          <w:rFonts w:ascii="Arial" w:hAnsi="Arial" w:cs="Arial"/>
          <w:sz w:val="24"/>
          <w:szCs w:val="24"/>
        </w:rPr>
      </w:pPr>
      <w:r w:rsidRPr="0085080D">
        <w:rPr>
          <w:rFonts w:ascii="Arial" w:hAnsi="Arial" w:cs="Arial"/>
          <w:sz w:val="24"/>
          <w:szCs w:val="24"/>
        </w:rPr>
        <w:t>Solicitou-se à equipe de SESMT uma cópia editada da planilha, excluindo informações que não foram alvo de análise neste estudo, como nome ou outro dado que identifique o trabalhador, e todas as informações de funcionários de outros setores que não fosse</w:t>
      </w:r>
      <w:r w:rsidR="007D05CE">
        <w:rPr>
          <w:rFonts w:ascii="Arial" w:hAnsi="Arial" w:cs="Arial"/>
          <w:sz w:val="24"/>
          <w:szCs w:val="24"/>
        </w:rPr>
        <w:t>m</w:t>
      </w:r>
      <w:r w:rsidR="008F7B92">
        <w:rPr>
          <w:rFonts w:ascii="Arial" w:hAnsi="Arial" w:cs="Arial"/>
          <w:sz w:val="24"/>
          <w:szCs w:val="24"/>
        </w:rPr>
        <w:t xml:space="preserve"> </w:t>
      </w:r>
      <w:r w:rsidR="009B7EDE">
        <w:rPr>
          <w:rFonts w:ascii="Arial" w:hAnsi="Arial" w:cs="Arial"/>
          <w:sz w:val="24"/>
          <w:szCs w:val="24"/>
        </w:rPr>
        <w:t>do</w:t>
      </w:r>
      <w:r w:rsidRPr="0085080D">
        <w:rPr>
          <w:rFonts w:ascii="Arial" w:hAnsi="Arial" w:cs="Arial"/>
          <w:sz w:val="24"/>
          <w:szCs w:val="24"/>
        </w:rPr>
        <w:t xml:space="preserve"> bloco cirúrgico. Os dados buscados se limitaram ao esquema vacinal contra HB, sorologia </w:t>
      </w:r>
      <w:proofErr w:type="spellStart"/>
      <w:r w:rsidRPr="0085080D">
        <w:rPr>
          <w:rFonts w:ascii="Arial" w:hAnsi="Arial" w:cs="Arial"/>
          <w:sz w:val="24"/>
          <w:szCs w:val="24"/>
        </w:rPr>
        <w:t>Anti-HBs</w:t>
      </w:r>
      <w:proofErr w:type="spellEnd"/>
      <w:r w:rsidRPr="0085080D">
        <w:rPr>
          <w:rFonts w:ascii="Arial" w:hAnsi="Arial" w:cs="Arial"/>
          <w:sz w:val="24"/>
          <w:szCs w:val="24"/>
        </w:rPr>
        <w:t>, sexo</w:t>
      </w:r>
      <w:r w:rsidR="004323ED">
        <w:rPr>
          <w:rFonts w:ascii="Arial" w:hAnsi="Arial" w:cs="Arial"/>
          <w:sz w:val="24"/>
          <w:szCs w:val="24"/>
        </w:rPr>
        <w:t>, idade</w:t>
      </w:r>
      <w:r w:rsidRPr="0085080D">
        <w:rPr>
          <w:rFonts w:ascii="Arial" w:hAnsi="Arial" w:cs="Arial"/>
          <w:sz w:val="24"/>
          <w:szCs w:val="24"/>
        </w:rPr>
        <w:t xml:space="preserve"> e função. </w:t>
      </w:r>
    </w:p>
    <w:p w14:paraId="3508BC19" w14:textId="77777777" w:rsidR="007C1A0E" w:rsidRPr="0085080D" w:rsidRDefault="007C1A0E" w:rsidP="00CD3247">
      <w:pPr>
        <w:spacing w:after="0" w:line="360" w:lineRule="auto"/>
        <w:ind w:firstLine="709"/>
        <w:jc w:val="both"/>
        <w:rPr>
          <w:rFonts w:ascii="Arial" w:hAnsi="Arial" w:cs="Arial"/>
          <w:sz w:val="24"/>
          <w:szCs w:val="24"/>
        </w:rPr>
      </w:pPr>
      <w:r w:rsidRPr="0085080D">
        <w:rPr>
          <w:rFonts w:ascii="Arial" w:hAnsi="Arial" w:cs="Arial"/>
          <w:sz w:val="24"/>
          <w:szCs w:val="24"/>
        </w:rPr>
        <w:t xml:space="preserve">Como critério de exclusão, foram desconsiderados casos em que o trabalhador não possuía resultado de exame </w:t>
      </w:r>
      <w:proofErr w:type="spellStart"/>
      <w:r w:rsidRPr="0085080D">
        <w:rPr>
          <w:rFonts w:ascii="Arial" w:hAnsi="Arial" w:cs="Arial"/>
          <w:sz w:val="24"/>
          <w:szCs w:val="24"/>
        </w:rPr>
        <w:t>Anti-HBs</w:t>
      </w:r>
      <w:proofErr w:type="spellEnd"/>
      <w:r w:rsidRPr="0085080D">
        <w:rPr>
          <w:rFonts w:ascii="Arial" w:hAnsi="Arial" w:cs="Arial"/>
          <w:sz w:val="24"/>
          <w:szCs w:val="24"/>
        </w:rPr>
        <w:t xml:space="preserve"> nos registros do SESMT ou exame </w:t>
      </w:r>
      <w:proofErr w:type="spellStart"/>
      <w:r w:rsidRPr="0085080D">
        <w:rPr>
          <w:rFonts w:ascii="Arial" w:hAnsi="Arial" w:cs="Arial"/>
          <w:sz w:val="24"/>
          <w:szCs w:val="24"/>
        </w:rPr>
        <w:t>Anti-HBs</w:t>
      </w:r>
      <w:proofErr w:type="spellEnd"/>
      <w:r w:rsidRPr="0085080D">
        <w:rPr>
          <w:rFonts w:ascii="Arial" w:hAnsi="Arial" w:cs="Arial"/>
          <w:sz w:val="24"/>
          <w:szCs w:val="24"/>
        </w:rPr>
        <w:t xml:space="preserve"> não reagente somado à esquema vacinal incompleto.</w:t>
      </w:r>
    </w:p>
    <w:p w14:paraId="2B24EA2B" w14:textId="7C59D419" w:rsidR="00462F39" w:rsidRDefault="008842F5" w:rsidP="00CD3247">
      <w:pPr>
        <w:autoSpaceDE w:val="0"/>
        <w:autoSpaceDN w:val="0"/>
        <w:adjustRightInd w:val="0"/>
        <w:spacing w:after="0" w:line="360" w:lineRule="auto"/>
        <w:ind w:firstLine="709"/>
        <w:jc w:val="both"/>
        <w:rPr>
          <w:rFonts w:ascii="Arial" w:eastAsia="Arial" w:hAnsi="Arial" w:cs="Arial"/>
          <w:sz w:val="24"/>
          <w:szCs w:val="24"/>
        </w:rPr>
      </w:pPr>
      <w:r w:rsidRPr="000F62E2">
        <w:rPr>
          <w:rFonts w:ascii="Arial" w:eastAsia="Arial" w:hAnsi="Arial" w:cs="Arial"/>
          <w:sz w:val="24"/>
          <w:szCs w:val="24"/>
        </w:rPr>
        <w:t>Ressalta-se de que de acordo com a portaria 466/2012 do Conselho Nacional de Experimentação e Pesquisa (CONEP), n</w:t>
      </w:r>
      <w:r w:rsidR="007C1A0E" w:rsidRPr="000F62E2">
        <w:rPr>
          <w:rFonts w:ascii="Arial" w:eastAsia="Arial" w:hAnsi="Arial" w:cs="Arial"/>
          <w:sz w:val="24"/>
          <w:szCs w:val="24"/>
        </w:rPr>
        <w:t>ão foi necessário oferecer Termo de Consentimento Livre e Esclarecido (TCLE), tendo em vista que os dados que identificariam os participantes não foram disponibilizados</w:t>
      </w:r>
      <w:r w:rsidRPr="000F62E2">
        <w:rPr>
          <w:rFonts w:ascii="Arial" w:eastAsia="Arial" w:hAnsi="Arial" w:cs="Arial"/>
          <w:sz w:val="24"/>
          <w:szCs w:val="24"/>
        </w:rPr>
        <w:t xml:space="preserve"> e a pesquisa está devidamente autorizada conforme apresentado no anexo 1.</w:t>
      </w:r>
    </w:p>
    <w:p w14:paraId="42383A5B" w14:textId="77777777" w:rsidR="00B57FF5" w:rsidRDefault="00B57FF5" w:rsidP="00B57FF5">
      <w:pPr>
        <w:rPr>
          <w:rFonts w:ascii="Arial" w:eastAsia="Arial" w:hAnsi="Arial" w:cs="Arial"/>
          <w:sz w:val="24"/>
          <w:szCs w:val="24"/>
        </w:rPr>
      </w:pPr>
    </w:p>
    <w:p w14:paraId="02237A85" w14:textId="30180061" w:rsidR="00462F39" w:rsidRDefault="00FF142C" w:rsidP="00B57FF5">
      <w:pPr>
        <w:rPr>
          <w:rFonts w:ascii="Arial" w:eastAsia="Times New Roman" w:hAnsi="Arial" w:cs="Arial"/>
          <w:b/>
          <w:bCs/>
          <w:kern w:val="36"/>
          <w:sz w:val="24"/>
          <w:szCs w:val="24"/>
          <w:lang w:eastAsia="pt-BR"/>
        </w:rPr>
      </w:pPr>
      <w:r>
        <w:rPr>
          <w:rFonts w:ascii="Arial" w:hAnsi="Arial" w:cs="Arial"/>
          <w:b/>
          <w:sz w:val="24"/>
          <w:szCs w:val="24"/>
        </w:rPr>
        <w:t xml:space="preserve">3 </w:t>
      </w:r>
      <w:r w:rsidR="00B57FF5" w:rsidRPr="00B57FF5">
        <w:rPr>
          <w:rFonts w:ascii="Arial" w:hAnsi="Arial" w:cs="Arial"/>
          <w:b/>
          <w:sz w:val="24"/>
          <w:szCs w:val="24"/>
        </w:rPr>
        <w:t xml:space="preserve">REVISÃO DA </w:t>
      </w:r>
      <w:r w:rsidR="00CD2292" w:rsidRPr="00CD2292">
        <w:rPr>
          <w:rFonts w:ascii="Arial" w:eastAsia="Times New Roman" w:hAnsi="Arial" w:cs="Arial"/>
          <w:b/>
          <w:bCs/>
          <w:kern w:val="36"/>
          <w:sz w:val="24"/>
          <w:szCs w:val="24"/>
          <w:lang w:eastAsia="pt-BR"/>
        </w:rPr>
        <w:t>LITERATURA</w:t>
      </w:r>
    </w:p>
    <w:p w14:paraId="23D359A3" w14:textId="65E7BD01" w:rsidR="008842F5" w:rsidRPr="00B57FF5" w:rsidRDefault="008F7B92" w:rsidP="00B57FF5">
      <w:pPr>
        <w:rPr>
          <w:rFonts w:ascii="Arial" w:hAnsi="Arial" w:cs="Arial"/>
          <w:b/>
          <w:sz w:val="24"/>
          <w:szCs w:val="24"/>
        </w:rPr>
      </w:pPr>
      <w:r w:rsidRPr="008F7B92">
        <w:rPr>
          <w:rFonts w:ascii="Arial" w:eastAsia="Times New Roman" w:hAnsi="Arial" w:cs="Arial"/>
          <w:b/>
          <w:bCs/>
          <w:kern w:val="36"/>
          <w:sz w:val="24"/>
          <w:szCs w:val="24"/>
          <w:lang w:eastAsia="pt-BR"/>
        </w:rPr>
        <w:lastRenderedPageBreak/>
        <w:t xml:space="preserve">3.1 </w:t>
      </w:r>
      <w:r w:rsidRPr="008F7B92">
        <w:rPr>
          <w:rFonts w:ascii="Arial" w:eastAsia="Arial" w:hAnsi="Arial" w:cs="Arial"/>
          <w:b/>
          <w:color w:val="000000"/>
          <w:sz w:val="24"/>
          <w:szCs w:val="24"/>
        </w:rPr>
        <w:t>Resposta</w:t>
      </w:r>
      <w:r>
        <w:rPr>
          <w:rFonts w:ascii="Arial" w:eastAsia="Arial" w:hAnsi="Arial" w:cs="Arial"/>
          <w:b/>
          <w:color w:val="000000"/>
          <w:sz w:val="24"/>
          <w:szCs w:val="24"/>
        </w:rPr>
        <w:t xml:space="preserve"> Imunológica Contra o VHB em Profissionais de Saúde</w:t>
      </w:r>
      <w:r w:rsidR="008842F5">
        <w:rPr>
          <w:rFonts w:ascii="Arial" w:eastAsia="Times New Roman" w:hAnsi="Arial" w:cs="Arial"/>
          <w:b/>
          <w:bCs/>
          <w:kern w:val="36"/>
          <w:sz w:val="24"/>
          <w:szCs w:val="24"/>
          <w:lang w:eastAsia="pt-BR"/>
        </w:rPr>
        <w:t xml:space="preserve"> </w:t>
      </w:r>
    </w:p>
    <w:p w14:paraId="26200268" w14:textId="77777777" w:rsidR="00462F39" w:rsidRDefault="00462F39" w:rsidP="00462F39">
      <w:pPr>
        <w:pStyle w:val="Default"/>
        <w:spacing w:line="360" w:lineRule="auto"/>
        <w:ind w:firstLine="709"/>
        <w:jc w:val="both"/>
        <w:rPr>
          <w:color w:val="auto"/>
        </w:rPr>
      </w:pPr>
    </w:p>
    <w:p w14:paraId="35090B34" w14:textId="77777777" w:rsidR="002564BF" w:rsidRDefault="00B57FF5" w:rsidP="002564BF">
      <w:pPr>
        <w:pStyle w:val="Default"/>
        <w:spacing w:line="360" w:lineRule="auto"/>
        <w:ind w:firstLine="709"/>
        <w:jc w:val="both"/>
        <w:rPr>
          <w:color w:val="auto"/>
        </w:rPr>
      </w:pPr>
      <w:proofErr w:type="gramStart"/>
      <w:r>
        <w:t>Os cirurgiões-dentistas (CD)</w:t>
      </w:r>
      <w:proofErr w:type="gramEnd"/>
      <w:r>
        <w:t xml:space="preserve"> possuem o risco aumentado de três a cinco vezes para a aquisição do VHB em relação a população em geral.</w:t>
      </w:r>
      <w:r>
        <w:rPr>
          <w:vertAlign w:val="superscript"/>
        </w:rPr>
        <w:t>6</w:t>
      </w:r>
      <w:r w:rsidR="002564BF">
        <w:rPr>
          <w:color w:val="auto"/>
        </w:rPr>
        <w:t>O contínuo contato com sangue e secreções provenientes dos seus processos de trabalho, fazem deles profissionais com elevado risco de infecção ocupacional pelo VHB.</w:t>
      </w:r>
      <w:r w:rsidR="002564BF">
        <w:rPr>
          <w:color w:val="auto"/>
          <w:vertAlign w:val="superscript"/>
        </w:rPr>
        <w:t>7</w:t>
      </w:r>
    </w:p>
    <w:p w14:paraId="36FF95F2" w14:textId="77777777" w:rsidR="000D6EBE" w:rsidRPr="000D6EBE" w:rsidRDefault="000D6EBE" w:rsidP="000D6EBE">
      <w:pPr>
        <w:pStyle w:val="Default"/>
        <w:spacing w:line="360" w:lineRule="auto"/>
        <w:ind w:firstLine="709"/>
        <w:jc w:val="both"/>
      </w:pPr>
      <w:r w:rsidRPr="000D6EBE">
        <w:t>As medidas preventivas contra o VHB estão diretamente relacionadas às vias de transmissão e consiste no uso de preservativo em relações sexuais, triagem sorológica junto aos bancos de sangue, uso pessoal e intransferível (ou descartável) de seringas e instrumentos de procedimentos estéticos invasivos, como alicates de unha e lâminas de barbear, métodos seguros e bem executados de esterilização de instrumental cirúrgico médico e odontológico, acompanhamento pré-natal, biossegurança ocupacional, imunização.¹</w:t>
      </w:r>
    </w:p>
    <w:p w14:paraId="06282668" w14:textId="77777777" w:rsidR="000D6EBE" w:rsidRPr="000D6EBE" w:rsidRDefault="000D6EBE" w:rsidP="000D6EBE">
      <w:pPr>
        <w:pStyle w:val="Default"/>
        <w:spacing w:line="360" w:lineRule="auto"/>
        <w:ind w:firstLine="709"/>
        <w:jc w:val="both"/>
      </w:pPr>
      <w:r w:rsidRPr="000D6EBE">
        <w:t>A respeito da imunização, a vacina contra o VHB possui eficácia de 85 a 90% na prevenção da infecção em adultos jovens.</w:t>
      </w:r>
      <w:r w:rsidRPr="001A22E4">
        <w:rPr>
          <w:vertAlign w:val="superscript"/>
        </w:rPr>
        <w:t>8</w:t>
      </w:r>
      <w:r w:rsidRPr="000D6EBE">
        <w:t xml:space="preserve"> Entretanto a soro conversão é proporcionalmente inversa à idade, de modo que níveis protetores de anticorpos são encontrados somente em 50% das pessoas vacinadas com mais de 60 anos.</w:t>
      </w:r>
      <w:r w:rsidRPr="001A22E4">
        <w:rPr>
          <w:vertAlign w:val="superscript"/>
        </w:rPr>
        <w:t>9,10</w:t>
      </w:r>
      <w:r w:rsidRPr="000D6EBE">
        <w:t xml:space="preserve">  A soro conversão também diminui com a presença de insuficiência renal, diabetes, tabagismo, obesidade, infecção pelo vírus da imunodeficiência humana (HIV).</w:t>
      </w:r>
      <w:r w:rsidRPr="001A22E4">
        <w:rPr>
          <w:vertAlign w:val="superscript"/>
        </w:rPr>
        <w:t>11,12,13</w:t>
      </w:r>
    </w:p>
    <w:p w14:paraId="4D560DD1" w14:textId="2D02F7C9" w:rsidR="000D6EBE" w:rsidRDefault="000D6EBE" w:rsidP="000D6EBE">
      <w:pPr>
        <w:pStyle w:val="Default"/>
        <w:spacing w:line="360" w:lineRule="auto"/>
        <w:ind w:firstLine="709"/>
        <w:jc w:val="both"/>
      </w:pPr>
      <w:r w:rsidRPr="000D6EBE">
        <w:t xml:space="preserve">Portanto, o vacinado nem sempre está protegido contra o VHB. Mesmo depois de concluído o esquema vacinal contra a HB, ele pode continuar sendo susceptível à doença. Isso ocorre por erros de procedimento no ato da vacinação como dosagem inadequada, intervalo entre as doses diferente do preconizado, armazenamento fora dos padrões recomendados, e em alguns casos mais raros, a </w:t>
      </w:r>
      <w:proofErr w:type="spellStart"/>
      <w:r w:rsidRPr="000D6EBE">
        <w:t>imuno</w:t>
      </w:r>
      <w:proofErr w:type="spellEnd"/>
      <w:r w:rsidR="008F7B92">
        <w:t xml:space="preserve"> </w:t>
      </w:r>
      <w:r w:rsidRPr="000D6EBE">
        <w:t>incompetência do próprio vacinado em produzir anticorpos em quantidade necessária para o combate efetivo ao VHB ou até produção insuficiente para detecção via exames laboratoriais convencionais. Entretanto, a imunidade pode persistir mesmo após a diminuição dos anticorpos contra o VHB em valores abaixo da referencia laboratorial ou até mesmo desaparecimento dos mesmos, sendo comum a ocorrência deste evento ao longo dos anos. Trata-se da memória imune.</w:t>
      </w:r>
      <w:r w:rsidRPr="001A22E4">
        <w:rPr>
          <w:vertAlign w:val="superscript"/>
        </w:rPr>
        <w:t>14,15</w:t>
      </w:r>
    </w:p>
    <w:p w14:paraId="795CE0F1" w14:textId="74374766" w:rsidR="000D6EBE" w:rsidRPr="000D6EBE" w:rsidRDefault="000D6EBE" w:rsidP="000D6EBE">
      <w:pPr>
        <w:pStyle w:val="Default"/>
        <w:spacing w:line="360" w:lineRule="auto"/>
        <w:ind w:firstLine="709"/>
        <w:jc w:val="both"/>
      </w:pPr>
      <w:r w:rsidRPr="000D6EBE">
        <w:t xml:space="preserve">Existem indivíduos com resposta imunológica insuficiente ou inexistente contra o VHB após estímulo provocado com vírus vivos atenuados (até 10% entre os adultos imunocompetentes e até 50% dos imunodeprimidos), ou seja, não produzem </w:t>
      </w:r>
      <w:r w:rsidRPr="000D6EBE">
        <w:lastRenderedPageBreak/>
        <w:t xml:space="preserve">anticorpos contra o VHB mediante vacinação. Essa </w:t>
      </w:r>
      <w:proofErr w:type="spellStart"/>
      <w:r w:rsidRPr="000D6EBE">
        <w:t>hiporesposta</w:t>
      </w:r>
      <w:proofErr w:type="spellEnd"/>
      <w:r w:rsidRPr="000D6EBE">
        <w:t xml:space="preserve"> pode ser devida a um déficit imunológico ligado a fatores genéticos.</w:t>
      </w:r>
      <w:r w:rsidRPr="001A22E4">
        <w:rPr>
          <w:vertAlign w:val="superscript"/>
        </w:rPr>
        <w:t>16</w:t>
      </w:r>
    </w:p>
    <w:p w14:paraId="7B2E6B78" w14:textId="77777777" w:rsidR="000D6EBE" w:rsidRPr="000D6EBE" w:rsidRDefault="000D6EBE" w:rsidP="000D6EBE">
      <w:pPr>
        <w:pStyle w:val="Default"/>
        <w:spacing w:line="360" w:lineRule="auto"/>
        <w:ind w:firstLine="709"/>
        <w:jc w:val="both"/>
      </w:pPr>
      <w:r w:rsidRPr="000D6EBE">
        <w:t xml:space="preserve">Os trabalhadores expostos precisam ser protegidos através da oferta gratuita de imunização contra o VHB e verificação da eficácia da vacina por meio da realização de exame sorológico que confirme a existência de anticorpos suficientes contra o VHB no indivíduo testado.  Dessa forma, o </w:t>
      </w:r>
      <w:proofErr w:type="spellStart"/>
      <w:r w:rsidRPr="000D6EBE">
        <w:t>anti-HBs</w:t>
      </w:r>
      <w:proofErr w:type="spellEnd"/>
      <w:r w:rsidRPr="000D6EBE">
        <w:t xml:space="preserve"> é o marcador de referência para o controle da eficácia do esquema vacinal. Eles são detectados a partir de 30 dias após a vacinação contra o VHB ou após a recuperação de infecção aguda.</w:t>
      </w:r>
      <w:r w:rsidRPr="001A22E4">
        <w:rPr>
          <w:vertAlign w:val="superscript"/>
        </w:rPr>
        <w:t>16</w:t>
      </w:r>
    </w:p>
    <w:p w14:paraId="3EDDC66A" w14:textId="77777777" w:rsidR="000D6EBE" w:rsidRPr="000D6EBE" w:rsidRDefault="000D6EBE" w:rsidP="000D6EBE">
      <w:pPr>
        <w:pStyle w:val="Default"/>
        <w:spacing w:line="360" w:lineRule="auto"/>
        <w:ind w:firstLine="709"/>
        <w:jc w:val="both"/>
      </w:pPr>
      <w:r w:rsidRPr="000D6EBE">
        <w:t>Estudos com trabalhadores da saúde identificaram que 59,9% dos entrevistados referiam esquema vacinal completo, e apenas a metade destes relataram ter realizado a testagem de anti-HBs.</w:t>
      </w:r>
      <w:r w:rsidRPr="001A22E4">
        <w:rPr>
          <w:vertAlign w:val="superscript"/>
        </w:rPr>
        <w:t>17</w:t>
      </w:r>
    </w:p>
    <w:p w14:paraId="5D11B908" w14:textId="77777777" w:rsidR="000D6EBE" w:rsidRPr="000D6EBE" w:rsidRDefault="000D6EBE" w:rsidP="000D6EBE">
      <w:pPr>
        <w:pStyle w:val="Default"/>
        <w:spacing w:line="360" w:lineRule="auto"/>
        <w:ind w:firstLine="709"/>
        <w:jc w:val="both"/>
      </w:pPr>
      <w:r w:rsidRPr="000D6EBE">
        <w:t xml:space="preserve">Um interessante trabalho, intitulado “Monitoramento dos títulos de </w:t>
      </w:r>
      <w:proofErr w:type="spellStart"/>
      <w:r w:rsidRPr="000D6EBE">
        <w:t>anti-HBs</w:t>
      </w:r>
      <w:proofErr w:type="spellEnd"/>
      <w:r w:rsidRPr="000D6EBE">
        <w:t xml:space="preserve"> pós-vacinal em crianças e adolescentes em fase </w:t>
      </w:r>
      <w:proofErr w:type="spellStart"/>
      <w:r w:rsidRPr="000D6EBE">
        <w:t>pré</w:t>
      </w:r>
      <w:proofErr w:type="spellEnd"/>
      <w:r w:rsidRPr="000D6EBE">
        <w:t xml:space="preserve">-dialítica da doença renal crônica”, confirmou, mediante uma metodologia sólida (estudo de coorte retrospectivo), que ocorre queda progressiva </w:t>
      </w:r>
      <w:proofErr w:type="gramStart"/>
      <w:r w:rsidRPr="000D6EBE">
        <w:t>da titulagem</w:t>
      </w:r>
      <w:proofErr w:type="gramEnd"/>
      <w:r w:rsidRPr="000D6EBE">
        <w:t xml:space="preserve"> do </w:t>
      </w:r>
      <w:proofErr w:type="spellStart"/>
      <w:r w:rsidRPr="000D6EBE">
        <w:t>Anti-HBs</w:t>
      </w:r>
      <w:proofErr w:type="spellEnd"/>
      <w:r w:rsidRPr="000D6EBE">
        <w:t xml:space="preserve"> sérico ao longo do tempo.</w:t>
      </w:r>
      <w:r w:rsidRPr="001A22E4">
        <w:rPr>
          <w:vertAlign w:val="superscript"/>
        </w:rPr>
        <w:t>18</w:t>
      </w:r>
    </w:p>
    <w:p w14:paraId="0BF450A9" w14:textId="77777777" w:rsidR="000D6EBE" w:rsidRPr="000D6EBE" w:rsidRDefault="000D6EBE" w:rsidP="000D6EBE">
      <w:pPr>
        <w:pStyle w:val="Default"/>
        <w:spacing w:line="360" w:lineRule="auto"/>
        <w:ind w:firstLine="709"/>
        <w:jc w:val="both"/>
      </w:pPr>
      <w:r w:rsidRPr="000D6EBE">
        <w:t xml:space="preserve">Pesquisas de 2008 encontraram soropositividade para </w:t>
      </w:r>
      <w:proofErr w:type="spellStart"/>
      <w:r w:rsidRPr="000D6EBE">
        <w:t>Anti-HBs</w:t>
      </w:r>
      <w:proofErr w:type="spellEnd"/>
      <w:r w:rsidRPr="000D6EBE">
        <w:t xml:space="preserve"> em 65,4% dos profissionais de saúde de um hospital privado localizado no RJ.</w:t>
      </w:r>
      <w:r w:rsidRPr="001A22E4">
        <w:rPr>
          <w:vertAlign w:val="superscript"/>
        </w:rPr>
        <w:t>19</w:t>
      </w:r>
    </w:p>
    <w:p w14:paraId="36C71453" w14:textId="77777777" w:rsidR="000D6EBE" w:rsidRPr="000D6EBE" w:rsidRDefault="000D6EBE" w:rsidP="000D6EBE">
      <w:pPr>
        <w:pStyle w:val="Default"/>
        <w:spacing w:line="360" w:lineRule="auto"/>
        <w:ind w:firstLine="709"/>
        <w:jc w:val="both"/>
      </w:pPr>
      <w:r w:rsidRPr="000D6EBE">
        <w:t xml:space="preserve">Outras pesquisas, divulgadas em 2010, demonstraram que 81,7% de colaboradores do serviço de limpeza de um hospital escola obtiveram titulação </w:t>
      </w:r>
      <w:proofErr w:type="spellStart"/>
      <w:r w:rsidRPr="000D6EBE">
        <w:t>anti-Hbs</w:t>
      </w:r>
      <w:proofErr w:type="spellEnd"/>
      <w:r w:rsidRPr="000D6EBE">
        <w:t xml:space="preserve"> suficientes para serem considerados soroconvertidos.</w:t>
      </w:r>
      <w:r w:rsidRPr="001A22E4">
        <w:rPr>
          <w:vertAlign w:val="superscript"/>
        </w:rPr>
        <w:t>8</w:t>
      </w:r>
    </w:p>
    <w:p w14:paraId="0E637F16" w14:textId="77777777" w:rsidR="000D6EBE" w:rsidRPr="000D6EBE" w:rsidRDefault="000D6EBE" w:rsidP="000D6EBE">
      <w:pPr>
        <w:pStyle w:val="Default"/>
        <w:spacing w:line="360" w:lineRule="auto"/>
        <w:ind w:firstLine="709"/>
        <w:jc w:val="both"/>
      </w:pPr>
      <w:r w:rsidRPr="000D6EBE">
        <w:t xml:space="preserve">Estudos com profissionais de laboratório de analises clínicas de uma cidade mineira, concluiu que 99,76% das 24 amostras apresentaram níveis de anticorpos </w:t>
      </w:r>
      <w:proofErr w:type="spellStart"/>
      <w:r w:rsidRPr="000D6EBE">
        <w:t>Anti-HBs</w:t>
      </w:r>
      <w:proofErr w:type="spellEnd"/>
      <w:r w:rsidRPr="000D6EBE">
        <w:t xml:space="preserve"> considerados protetores.</w:t>
      </w:r>
      <w:r w:rsidRPr="001A22E4">
        <w:rPr>
          <w:vertAlign w:val="superscript"/>
        </w:rPr>
        <w:t>20</w:t>
      </w:r>
    </w:p>
    <w:p w14:paraId="1A0F14AF" w14:textId="77777777" w:rsidR="000D6EBE" w:rsidRPr="000D6EBE" w:rsidRDefault="000D6EBE" w:rsidP="000D6EBE">
      <w:pPr>
        <w:pStyle w:val="Default"/>
        <w:spacing w:line="360" w:lineRule="auto"/>
        <w:ind w:firstLine="709"/>
        <w:jc w:val="both"/>
      </w:pPr>
      <w:r w:rsidRPr="000D6EBE">
        <w:t>A imunização contra o VHB se dá através de três doses, com intervalo de um mês até a segunda dose e de cinco meses entre a segunda e a terceira dose (0, 1 e 6 meses). A vacina deve ser armazenada entre 2°C a 8°C, respeitados os prazos de validade.</w:t>
      </w:r>
      <w:r w:rsidRPr="001A22E4">
        <w:rPr>
          <w:vertAlign w:val="superscript"/>
        </w:rPr>
        <w:t>21</w:t>
      </w:r>
    </w:p>
    <w:p w14:paraId="4F993F10" w14:textId="77777777" w:rsidR="000D6EBE" w:rsidRDefault="000D6EBE" w:rsidP="000D6EBE">
      <w:pPr>
        <w:pStyle w:val="Default"/>
        <w:spacing w:line="360" w:lineRule="auto"/>
        <w:ind w:firstLine="709"/>
        <w:jc w:val="both"/>
      </w:pPr>
      <w:r w:rsidRPr="000D6EBE">
        <w:t>Em estudo com CD de Montes Claros, mais de 25% dos dentistas não completaram o esquema de vacinação ou nunca tomaram qualquer dose da vacina contra VHB.</w:t>
      </w:r>
      <w:r w:rsidRPr="001A22E4">
        <w:rPr>
          <w:vertAlign w:val="superscript"/>
        </w:rPr>
        <w:t>22</w:t>
      </w:r>
    </w:p>
    <w:p w14:paraId="45151936" w14:textId="07BB1250" w:rsidR="000D6EBE" w:rsidRPr="000D6EBE" w:rsidRDefault="000D6EBE" w:rsidP="000D6EBE">
      <w:pPr>
        <w:pStyle w:val="Default"/>
        <w:spacing w:line="360" w:lineRule="auto"/>
        <w:ind w:firstLine="709"/>
        <w:jc w:val="both"/>
      </w:pPr>
      <w:r w:rsidRPr="000D6EBE">
        <w:t xml:space="preserve">Os indivíduos que não respondem a uma primeira série completa de vacinação contra o VHB devem realizar uma segunda série de vacinação (0, 1 e 6 </w:t>
      </w:r>
      <w:r w:rsidRPr="000D6EBE">
        <w:lastRenderedPageBreak/>
        <w:t>meses)</w:t>
      </w:r>
      <w:r w:rsidRPr="001A22E4">
        <w:rPr>
          <w:vertAlign w:val="superscript"/>
        </w:rPr>
        <w:t>23</w:t>
      </w:r>
      <w:r w:rsidRPr="000D6EBE">
        <w:t xml:space="preserve"> e realizar novo teste sorológico para determinação do </w:t>
      </w:r>
      <w:proofErr w:type="spellStart"/>
      <w:r w:rsidRPr="000D6EBE">
        <w:t>Anti-HBs</w:t>
      </w:r>
      <w:proofErr w:type="spellEnd"/>
      <w:r w:rsidRPr="000D6EBE">
        <w:t>. Se negativo, devem ser considerados suscetíveis e aconselhados no sentido de precauções adicionais para prevenção. Profilaxia com imunoglobulina hiper</w:t>
      </w:r>
      <w:r w:rsidR="008F7B92">
        <w:t xml:space="preserve"> </w:t>
      </w:r>
      <w:r w:rsidRPr="000D6EBE">
        <w:t>imune para Hepatite B (</w:t>
      </w:r>
      <w:proofErr w:type="spellStart"/>
      <w:r w:rsidRPr="000D6EBE">
        <w:t>HBIg</w:t>
      </w:r>
      <w:proofErr w:type="spellEnd"/>
      <w:r w:rsidRPr="000D6EBE">
        <w:t>) pode ser aventada.</w:t>
      </w:r>
      <w:r w:rsidRPr="001A22E4">
        <w:rPr>
          <w:vertAlign w:val="superscript"/>
        </w:rPr>
        <w:t>16</w:t>
      </w:r>
    </w:p>
    <w:p w14:paraId="557502A2" w14:textId="77777777" w:rsidR="000D6EBE" w:rsidRPr="000D6EBE" w:rsidRDefault="000D6EBE" w:rsidP="000D6EBE">
      <w:pPr>
        <w:pStyle w:val="Default"/>
        <w:spacing w:line="360" w:lineRule="auto"/>
        <w:ind w:firstLine="709"/>
        <w:jc w:val="both"/>
      </w:pPr>
      <w:r w:rsidRPr="000D6EBE">
        <w:t xml:space="preserve">É importante ressaltar que o teste sorológico </w:t>
      </w:r>
      <w:proofErr w:type="spellStart"/>
      <w:r w:rsidRPr="000D6EBE">
        <w:t>anti-HBs</w:t>
      </w:r>
      <w:proofErr w:type="spellEnd"/>
      <w:r w:rsidRPr="000D6EBE">
        <w:t xml:space="preserve"> só é indicado após a infecção pelo VHB ou vacinação contra o mesmo e é o principal meio de monitoramento do êxito vacinal contra Hepatite B. A realização do exame indispensável para a aferição da proteção contra a infecção por VHB.</w:t>
      </w:r>
      <w:r w:rsidRPr="001A22E4">
        <w:rPr>
          <w:vertAlign w:val="superscript"/>
        </w:rPr>
        <w:t>16</w:t>
      </w:r>
    </w:p>
    <w:p w14:paraId="04F2EEC6" w14:textId="656CD730" w:rsidR="000D6EBE" w:rsidRPr="000D6EBE" w:rsidRDefault="000D6EBE" w:rsidP="000D6EBE">
      <w:pPr>
        <w:pStyle w:val="Default"/>
        <w:spacing w:line="360" w:lineRule="auto"/>
        <w:ind w:firstLine="709"/>
        <w:jc w:val="both"/>
      </w:pPr>
      <w:r w:rsidRPr="000D6EBE">
        <w:t>Durante a investigação do risco para Hepatite B pós-acidente, convém questionar a situação vacinal e a resposta imunológica (</w:t>
      </w:r>
      <w:proofErr w:type="spellStart"/>
      <w:r w:rsidRPr="000D6EBE">
        <w:t>anti-HBs</w:t>
      </w:r>
      <w:proofErr w:type="spellEnd"/>
      <w:r w:rsidRPr="000D6EBE">
        <w:t xml:space="preserve">) do profissional acidentado. Caso o trabalhador da saúde tenha realizado o teste sorológico antecipadamente, a conduta pós exposição ocupacional fica facilitada, uma vez que será possível classificar o acidentado como imunizado contra o VHB ou </w:t>
      </w:r>
      <w:proofErr w:type="spellStart"/>
      <w:r w:rsidRPr="000D6EBE">
        <w:t>hiporespondedor</w:t>
      </w:r>
      <w:proofErr w:type="spellEnd"/>
      <w:r w:rsidRPr="000D6EBE">
        <w:t xml:space="preserve"> da vacina contra o VHB. Dessa forma, o conhecimento do status sorológico permitirá uma rápida e correta conduta no atendimento pós-exposição.</w:t>
      </w:r>
      <w:r w:rsidRPr="001A22E4">
        <w:rPr>
          <w:vertAlign w:val="superscript"/>
        </w:rPr>
        <w:t>16</w:t>
      </w:r>
    </w:p>
    <w:p w14:paraId="76BEE74F" w14:textId="2EBA3D16" w:rsidR="000D6EBE" w:rsidRDefault="000D6EBE" w:rsidP="000D6EBE">
      <w:pPr>
        <w:pStyle w:val="Default"/>
        <w:spacing w:line="360" w:lineRule="auto"/>
        <w:ind w:firstLine="709"/>
        <w:jc w:val="both"/>
        <w:rPr>
          <w:rFonts w:ascii="Times New Roman" w:hAnsi="Times New Roman" w:cs="Times New Roman"/>
          <w:color w:val="auto"/>
          <w:lang w:eastAsia="pt-BR"/>
        </w:rPr>
      </w:pPr>
      <w:r>
        <w:t>A Norma Regulamentadora N°32 (NR 32), publicada em 11/11/2005 e alterada pelas portarias GM 939 de 18/11/2008 e GM 1.748 de 30/08/2011, determina a todos os profissionais da área de saúde a vacinação contra hepatite B e verificação sorológica dos níveis de anticorpos específicos, sem vincular este procedimento à necessidade prévia de acidente ocupacional envolvendo material biológico.</w:t>
      </w:r>
      <w:r w:rsidR="008F7B92">
        <w:t xml:space="preserve"> </w:t>
      </w:r>
      <w:r>
        <w:t xml:space="preserve">Ainda assim, o Ministério da Saúde orienta que também seja realizado o teste sorológico </w:t>
      </w:r>
      <w:proofErr w:type="spellStart"/>
      <w:r>
        <w:t>anti-HBs</w:t>
      </w:r>
      <w:proofErr w:type="spellEnd"/>
      <w:r>
        <w:t xml:space="preserve"> após ocorrência de acidentes envolvendo material biológico.</w:t>
      </w:r>
      <w:r w:rsidRPr="001A22E4">
        <w:rPr>
          <w:vertAlign w:val="superscript"/>
        </w:rPr>
        <w:t>16</w:t>
      </w:r>
      <w:r w:rsidR="001A22E4">
        <w:rPr>
          <w:vertAlign w:val="superscript"/>
        </w:rPr>
        <w:t>, 24, 25</w:t>
      </w:r>
    </w:p>
    <w:p w14:paraId="14BCC98C" w14:textId="77777777" w:rsidR="00E83D26" w:rsidRPr="009B7EDE" w:rsidRDefault="00E83D26" w:rsidP="00462F39">
      <w:pPr>
        <w:pStyle w:val="Default"/>
        <w:spacing w:line="360" w:lineRule="auto"/>
        <w:ind w:firstLine="709"/>
        <w:jc w:val="both"/>
        <w:rPr>
          <w:color w:val="auto"/>
        </w:rPr>
      </w:pPr>
    </w:p>
    <w:p w14:paraId="298CBF7A" w14:textId="77777777" w:rsidR="007C1A0E" w:rsidRPr="0085080D" w:rsidRDefault="00FF142C" w:rsidP="0085080D">
      <w:pPr>
        <w:pStyle w:val="Ttulo1"/>
      </w:pPr>
      <w:r>
        <w:t xml:space="preserve">4 </w:t>
      </w:r>
      <w:r w:rsidR="00AD0367" w:rsidRPr="0085080D">
        <w:t xml:space="preserve"> RESULTADOS </w:t>
      </w:r>
    </w:p>
    <w:p w14:paraId="179A66F7" w14:textId="77777777" w:rsidR="004D5CCC" w:rsidRDefault="004D5CCC" w:rsidP="00CD3247">
      <w:pPr>
        <w:spacing w:after="0" w:line="360" w:lineRule="auto"/>
        <w:ind w:firstLine="709"/>
        <w:jc w:val="both"/>
        <w:rPr>
          <w:rFonts w:ascii="Arial" w:hAnsi="Arial" w:cs="Arial"/>
          <w:sz w:val="24"/>
          <w:szCs w:val="24"/>
        </w:rPr>
      </w:pPr>
    </w:p>
    <w:p w14:paraId="196CDBB0" w14:textId="77777777" w:rsidR="007C1A0E" w:rsidRPr="0085080D" w:rsidRDefault="007C1A0E" w:rsidP="00CD3247">
      <w:pPr>
        <w:spacing w:after="0" w:line="360" w:lineRule="auto"/>
        <w:ind w:firstLine="709"/>
        <w:jc w:val="both"/>
        <w:rPr>
          <w:rFonts w:ascii="Arial" w:hAnsi="Arial" w:cs="Arial"/>
          <w:sz w:val="24"/>
          <w:szCs w:val="24"/>
        </w:rPr>
      </w:pPr>
      <w:r w:rsidRPr="0085080D">
        <w:rPr>
          <w:rFonts w:ascii="Arial" w:hAnsi="Arial" w:cs="Arial"/>
          <w:sz w:val="24"/>
          <w:szCs w:val="24"/>
        </w:rPr>
        <w:t xml:space="preserve">Foram analisados registros vacinais contra HB e exames </w:t>
      </w:r>
      <w:proofErr w:type="spellStart"/>
      <w:r w:rsidRPr="0085080D">
        <w:rPr>
          <w:rFonts w:ascii="Arial" w:hAnsi="Arial" w:cs="Arial"/>
          <w:sz w:val="24"/>
          <w:szCs w:val="24"/>
        </w:rPr>
        <w:t>Anti-HBs</w:t>
      </w:r>
      <w:proofErr w:type="spellEnd"/>
      <w:r w:rsidRPr="0085080D">
        <w:rPr>
          <w:rFonts w:ascii="Arial" w:hAnsi="Arial" w:cs="Arial"/>
          <w:sz w:val="24"/>
          <w:szCs w:val="24"/>
        </w:rPr>
        <w:t xml:space="preserve"> em profissionais de saúde que atuavam no bloco cirúrgico e obstétrico do hospital, totalizando 130 funcionários. Neste mesmo período haviam 689 profissionais de saúde, considerando todos os setores.</w:t>
      </w:r>
    </w:p>
    <w:p w14:paraId="0034AD22" w14:textId="77777777" w:rsidR="007C1A0E" w:rsidRPr="0085080D" w:rsidRDefault="007C1A0E" w:rsidP="00CD3247">
      <w:pPr>
        <w:spacing w:after="0" w:line="360" w:lineRule="auto"/>
        <w:ind w:firstLine="709"/>
        <w:jc w:val="both"/>
        <w:rPr>
          <w:rFonts w:ascii="Arial" w:hAnsi="Arial" w:cs="Arial"/>
          <w:sz w:val="24"/>
          <w:szCs w:val="24"/>
        </w:rPr>
      </w:pPr>
      <w:r w:rsidRPr="0085080D">
        <w:rPr>
          <w:rFonts w:ascii="Arial" w:hAnsi="Arial" w:cs="Arial"/>
          <w:sz w:val="24"/>
          <w:szCs w:val="24"/>
        </w:rPr>
        <w:t xml:space="preserve">Do grupo estudado, 13,85% (18 em números absolutos) não possuíam resultado de exame </w:t>
      </w:r>
      <w:proofErr w:type="spellStart"/>
      <w:r w:rsidRPr="0085080D">
        <w:rPr>
          <w:rFonts w:ascii="Arial" w:hAnsi="Arial" w:cs="Arial"/>
          <w:sz w:val="24"/>
          <w:szCs w:val="24"/>
        </w:rPr>
        <w:t>Anti-HBs</w:t>
      </w:r>
      <w:proofErr w:type="spellEnd"/>
      <w:r w:rsidRPr="0085080D">
        <w:rPr>
          <w:rFonts w:ascii="Arial" w:hAnsi="Arial" w:cs="Arial"/>
          <w:sz w:val="24"/>
          <w:szCs w:val="24"/>
        </w:rPr>
        <w:t xml:space="preserve">, e foram excluídos da análise. Ainda assim, é um dado relevante e optou-se por citá-lo isoladamente, uma vez que o conhecimento do nível </w:t>
      </w:r>
      <w:r w:rsidRPr="0085080D">
        <w:rPr>
          <w:rFonts w:ascii="Arial" w:hAnsi="Arial" w:cs="Arial"/>
          <w:sz w:val="24"/>
          <w:szCs w:val="24"/>
        </w:rPr>
        <w:lastRenderedPageBreak/>
        <w:t xml:space="preserve">de proteção contra o VHB em profissionais com significativo risco de exposição ao vírus deve ser o mais abrangente possível. </w:t>
      </w:r>
    </w:p>
    <w:p w14:paraId="7FE29BAF" w14:textId="77777777" w:rsidR="006E03DB" w:rsidRDefault="007C1A0E" w:rsidP="00C90476">
      <w:pPr>
        <w:spacing w:after="0" w:line="360" w:lineRule="auto"/>
        <w:ind w:firstLine="709"/>
        <w:jc w:val="both"/>
        <w:rPr>
          <w:rFonts w:ascii="Arial" w:hAnsi="Arial" w:cs="Arial"/>
          <w:sz w:val="24"/>
          <w:szCs w:val="24"/>
        </w:rPr>
      </w:pPr>
      <w:r w:rsidRPr="0085080D">
        <w:rPr>
          <w:rFonts w:ascii="Arial" w:hAnsi="Arial" w:cs="Arial"/>
          <w:sz w:val="24"/>
          <w:szCs w:val="24"/>
        </w:rPr>
        <w:t xml:space="preserve">Após aplicação do critério de exclusão, os dados foram recalculados baseados em 112 funcionários. Em relação ao sexo, todas as mulheres apresentaram resultado reagente para o exame </w:t>
      </w:r>
      <w:proofErr w:type="spellStart"/>
      <w:r w:rsidRPr="0085080D">
        <w:rPr>
          <w:rFonts w:ascii="Arial" w:hAnsi="Arial" w:cs="Arial"/>
          <w:sz w:val="24"/>
          <w:szCs w:val="24"/>
        </w:rPr>
        <w:t>Anti-HBs</w:t>
      </w:r>
      <w:proofErr w:type="spellEnd"/>
      <w:r w:rsidRPr="0085080D">
        <w:rPr>
          <w:rFonts w:ascii="Arial" w:hAnsi="Arial" w:cs="Arial"/>
          <w:sz w:val="24"/>
          <w:szCs w:val="24"/>
        </w:rPr>
        <w:t>, correspondendo 62,50% (70) do total de indivíduos pesquisados. Homens com resultado também reagente foram 33,93% (38) e não reagente 3,57% (4). Se considerarmos somente o sexo masculino, o nível de eficácia da imunização contra HB correspondeu a 90,48%, no sexo feminino foi 100%. A tabela 1 apresenta os resultados por sexo e área de atuação.</w:t>
      </w:r>
    </w:p>
    <w:p w14:paraId="128828DE" w14:textId="77777777" w:rsidR="00054FDA" w:rsidRDefault="00054FDA" w:rsidP="00C90476">
      <w:pPr>
        <w:spacing w:after="0" w:line="360" w:lineRule="auto"/>
        <w:ind w:firstLine="709"/>
        <w:jc w:val="both"/>
        <w:rPr>
          <w:rFonts w:ascii="Arial" w:hAnsi="Arial" w:cs="Arial"/>
          <w:sz w:val="24"/>
          <w:szCs w:val="24"/>
        </w:rPr>
      </w:pPr>
    </w:p>
    <w:p w14:paraId="07D2819F" w14:textId="70C34607" w:rsidR="00FB6704" w:rsidRPr="004D5CCC" w:rsidRDefault="00FB6704" w:rsidP="00FB6704">
      <w:pPr>
        <w:pStyle w:val="Legenda"/>
        <w:keepNext/>
        <w:rPr>
          <w:rFonts w:ascii="Arial" w:hAnsi="Arial" w:cs="Arial"/>
          <w:i w:val="0"/>
          <w:iCs w:val="0"/>
          <w:color w:val="auto"/>
          <w:sz w:val="24"/>
          <w:szCs w:val="24"/>
        </w:rPr>
      </w:pPr>
      <w:r w:rsidRPr="004D5CCC">
        <w:rPr>
          <w:rFonts w:ascii="Arial" w:hAnsi="Arial" w:cs="Arial"/>
          <w:i w:val="0"/>
          <w:iCs w:val="0"/>
          <w:color w:val="auto"/>
          <w:sz w:val="24"/>
          <w:szCs w:val="24"/>
        </w:rPr>
        <w:t xml:space="preserve">Tabela </w:t>
      </w:r>
      <w:r w:rsidR="00CD2292" w:rsidRPr="006E4C41">
        <w:rPr>
          <w:rFonts w:ascii="Arial" w:hAnsi="Arial" w:cs="Arial"/>
          <w:i w:val="0"/>
          <w:iCs w:val="0"/>
          <w:color w:val="auto"/>
          <w:sz w:val="24"/>
          <w:szCs w:val="24"/>
        </w:rPr>
        <w:fldChar w:fldCharType="begin"/>
      </w:r>
      <w:r w:rsidRPr="004D5CCC">
        <w:rPr>
          <w:rFonts w:ascii="Arial" w:hAnsi="Arial" w:cs="Arial"/>
          <w:i w:val="0"/>
          <w:iCs w:val="0"/>
          <w:color w:val="auto"/>
          <w:sz w:val="24"/>
          <w:szCs w:val="24"/>
        </w:rPr>
        <w:instrText xml:space="preserve"> SEQ Tabela \* ARABIC </w:instrText>
      </w:r>
      <w:r w:rsidR="00CD2292" w:rsidRPr="006E4C41">
        <w:rPr>
          <w:rFonts w:ascii="Arial" w:hAnsi="Arial" w:cs="Arial"/>
          <w:i w:val="0"/>
          <w:iCs w:val="0"/>
          <w:color w:val="auto"/>
          <w:sz w:val="24"/>
          <w:szCs w:val="24"/>
        </w:rPr>
        <w:fldChar w:fldCharType="separate"/>
      </w:r>
      <w:r w:rsidR="008842F5">
        <w:rPr>
          <w:rFonts w:ascii="Arial" w:hAnsi="Arial" w:cs="Arial"/>
          <w:i w:val="0"/>
          <w:iCs w:val="0"/>
          <w:noProof/>
          <w:color w:val="auto"/>
          <w:sz w:val="24"/>
          <w:szCs w:val="24"/>
        </w:rPr>
        <w:t>1</w:t>
      </w:r>
      <w:r w:rsidR="00CD2292" w:rsidRPr="006E4C41">
        <w:rPr>
          <w:rFonts w:ascii="Arial" w:hAnsi="Arial" w:cs="Arial"/>
          <w:i w:val="0"/>
          <w:iCs w:val="0"/>
          <w:color w:val="auto"/>
          <w:sz w:val="24"/>
          <w:szCs w:val="24"/>
        </w:rPr>
        <w:fldChar w:fldCharType="end"/>
      </w:r>
      <w:r w:rsidR="00F501EA">
        <w:rPr>
          <w:rFonts w:ascii="Arial" w:hAnsi="Arial" w:cs="Arial"/>
          <w:i w:val="0"/>
          <w:iCs w:val="0"/>
          <w:color w:val="auto"/>
          <w:sz w:val="24"/>
          <w:szCs w:val="24"/>
        </w:rPr>
        <w:t xml:space="preserve">: </w:t>
      </w:r>
      <w:r w:rsidR="00E83D26" w:rsidRPr="00E83D26">
        <w:rPr>
          <w:rFonts w:ascii="Arial" w:hAnsi="Arial" w:cs="Arial"/>
          <w:color w:val="auto"/>
          <w:sz w:val="24"/>
          <w:szCs w:val="24"/>
        </w:rPr>
        <w:t xml:space="preserve">Exame </w:t>
      </w:r>
      <w:proofErr w:type="spellStart"/>
      <w:r w:rsidR="00E83D26" w:rsidRPr="00E83D26">
        <w:rPr>
          <w:rFonts w:ascii="Arial" w:hAnsi="Arial" w:cs="Arial"/>
          <w:color w:val="auto"/>
          <w:sz w:val="24"/>
          <w:szCs w:val="24"/>
        </w:rPr>
        <w:t>Anti-HBs</w:t>
      </w:r>
      <w:proofErr w:type="spellEnd"/>
      <w:r w:rsidR="00E83D26" w:rsidRPr="00E83D26">
        <w:rPr>
          <w:rFonts w:ascii="Arial" w:hAnsi="Arial" w:cs="Arial"/>
          <w:color w:val="auto"/>
          <w:sz w:val="24"/>
          <w:szCs w:val="24"/>
        </w:rPr>
        <w:t xml:space="preserve"> por categoria</w:t>
      </w:r>
      <w:r w:rsidR="00F501EA" w:rsidRPr="00E83D26">
        <w:rPr>
          <w:rFonts w:ascii="Arial" w:hAnsi="Arial" w:cs="Arial"/>
          <w:iCs w:val="0"/>
          <w:color w:val="auto"/>
          <w:sz w:val="24"/>
          <w:szCs w:val="24"/>
        </w:rPr>
        <w:t xml:space="preserve"> profissional</w:t>
      </w:r>
      <w:r w:rsidR="00E83D26" w:rsidRPr="00E83D26">
        <w:rPr>
          <w:rFonts w:ascii="Arial" w:hAnsi="Arial" w:cs="Arial"/>
          <w:iCs w:val="0"/>
          <w:color w:val="auto"/>
          <w:sz w:val="24"/>
          <w:szCs w:val="24"/>
        </w:rPr>
        <w:t xml:space="preserve"> e sexo</w:t>
      </w:r>
    </w:p>
    <w:tbl>
      <w:tblPr>
        <w:tblW w:w="8810" w:type="dxa"/>
        <w:tblInd w:w="55" w:type="dxa"/>
        <w:tblCellMar>
          <w:left w:w="70" w:type="dxa"/>
          <w:right w:w="70" w:type="dxa"/>
        </w:tblCellMar>
        <w:tblLook w:val="04A0" w:firstRow="1" w:lastRow="0" w:firstColumn="1" w:lastColumn="0" w:noHBand="0" w:noVBand="1"/>
      </w:tblPr>
      <w:tblGrid>
        <w:gridCol w:w="2567"/>
        <w:gridCol w:w="850"/>
        <w:gridCol w:w="541"/>
        <w:gridCol w:w="975"/>
        <w:gridCol w:w="492"/>
        <w:gridCol w:w="1351"/>
        <w:gridCol w:w="927"/>
        <w:gridCol w:w="1107"/>
      </w:tblGrid>
      <w:tr w:rsidR="007C1A0E" w:rsidRPr="002B067C" w14:paraId="2D9EE437" w14:textId="77777777" w:rsidTr="00FB6704">
        <w:trPr>
          <w:trHeight w:val="274"/>
        </w:trPr>
        <w:tc>
          <w:tcPr>
            <w:tcW w:w="881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31C354F4"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p>
        </w:tc>
      </w:tr>
      <w:tr w:rsidR="007C1A0E" w:rsidRPr="002B067C" w14:paraId="4DEE2CD6" w14:textId="77777777" w:rsidTr="00FB6704">
        <w:trPr>
          <w:trHeight w:val="433"/>
        </w:trPr>
        <w:tc>
          <w:tcPr>
            <w:tcW w:w="2567" w:type="dxa"/>
            <w:vMerge w:val="restart"/>
            <w:tcBorders>
              <w:top w:val="nil"/>
              <w:left w:val="single" w:sz="4" w:space="0" w:color="auto"/>
              <w:bottom w:val="single" w:sz="4" w:space="0" w:color="000000"/>
              <w:right w:val="single" w:sz="4" w:space="0" w:color="auto"/>
            </w:tcBorders>
            <w:shd w:val="clear" w:color="auto" w:fill="auto"/>
            <w:vAlign w:val="center"/>
            <w:hideMark/>
          </w:tcPr>
          <w:p w14:paraId="43A5E813"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CATEGORIA</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C4EF6D"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SEXO</w:t>
            </w:r>
          </w:p>
        </w:tc>
        <w:tc>
          <w:tcPr>
            <w:tcW w:w="33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74221038"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ANTI-HBS</w:t>
            </w:r>
          </w:p>
        </w:tc>
        <w:tc>
          <w:tcPr>
            <w:tcW w:w="927" w:type="dxa"/>
            <w:vMerge w:val="restart"/>
            <w:tcBorders>
              <w:top w:val="nil"/>
              <w:left w:val="nil"/>
              <w:bottom w:val="single" w:sz="4" w:space="0" w:color="000000"/>
              <w:right w:val="single" w:sz="4" w:space="0" w:color="auto"/>
            </w:tcBorders>
            <w:shd w:val="clear" w:color="auto" w:fill="auto"/>
            <w:vAlign w:val="center"/>
            <w:hideMark/>
          </w:tcPr>
          <w:p w14:paraId="59D53C90"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TOTAL</w:t>
            </w:r>
          </w:p>
        </w:tc>
        <w:tc>
          <w:tcPr>
            <w:tcW w:w="1107" w:type="dxa"/>
            <w:vMerge w:val="restart"/>
            <w:tcBorders>
              <w:top w:val="nil"/>
              <w:left w:val="nil"/>
              <w:bottom w:val="single" w:sz="4" w:space="0" w:color="000000"/>
              <w:right w:val="single" w:sz="4" w:space="0" w:color="auto"/>
            </w:tcBorders>
            <w:shd w:val="clear" w:color="auto" w:fill="auto"/>
            <w:vAlign w:val="center"/>
            <w:hideMark/>
          </w:tcPr>
          <w:p w14:paraId="648142D7"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TOTAL (%)</w:t>
            </w:r>
          </w:p>
        </w:tc>
      </w:tr>
      <w:tr w:rsidR="007C1A0E" w:rsidRPr="002B067C" w14:paraId="65795BEE" w14:textId="77777777" w:rsidTr="00FB6704">
        <w:trPr>
          <w:trHeight w:val="300"/>
        </w:trPr>
        <w:tc>
          <w:tcPr>
            <w:tcW w:w="2567" w:type="dxa"/>
            <w:vMerge/>
            <w:tcBorders>
              <w:top w:val="nil"/>
              <w:left w:val="single" w:sz="4" w:space="0" w:color="auto"/>
              <w:bottom w:val="single" w:sz="4" w:space="0" w:color="000000"/>
              <w:right w:val="single" w:sz="4" w:space="0" w:color="auto"/>
            </w:tcBorders>
            <w:vAlign w:val="center"/>
            <w:hideMark/>
          </w:tcPr>
          <w:p w14:paraId="453AFBD0" w14:textId="77777777" w:rsidR="007C1A0E" w:rsidRPr="00FB6704" w:rsidRDefault="007C1A0E" w:rsidP="00727D82">
            <w:pPr>
              <w:spacing w:after="0" w:line="240" w:lineRule="auto"/>
              <w:rPr>
                <w:rFonts w:ascii="Arial" w:eastAsia="Times New Roman" w:hAnsi="Arial" w:cs="Arial"/>
                <w:color w:val="000000"/>
                <w:sz w:val="24"/>
                <w:szCs w:val="24"/>
                <w:lang w:eastAsia="pt-BR"/>
              </w:rPr>
            </w:pPr>
          </w:p>
        </w:tc>
        <w:tc>
          <w:tcPr>
            <w:tcW w:w="850" w:type="dxa"/>
            <w:vMerge/>
            <w:tcBorders>
              <w:top w:val="nil"/>
              <w:left w:val="single" w:sz="4" w:space="0" w:color="auto"/>
              <w:bottom w:val="single" w:sz="4" w:space="0" w:color="000000"/>
              <w:right w:val="single" w:sz="4" w:space="0" w:color="auto"/>
            </w:tcBorders>
            <w:vAlign w:val="center"/>
            <w:hideMark/>
          </w:tcPr>
          <w:p w14:paraId="02DB2DE3" w14:textId="77777777" w:rsidR="007C1A0E" w:rsidRPr="00FB6704" w:rsidRDefault="007C1A0E" w:rsidP="00727D82">
            <w:pPr>
              <w:spacing w:after="0" w:line="240" w:lineRule="auto"/>
              <w:rPr>
                <w:rFonts w:ascii="Arial" w:eastAsia="Times New Roman" w:hAnsi="Arial" w:cs="Arial"/>
                <w:color w:val="000000"/>
                <w:sz w:val="24"/>
                <w:szCs w:val="24"/>
                <w:lang w:eastAsia="pt-BR"/>
              </w:rPr>
            </w:pPr>
          </w:p>
        </w:tc>
        <w:tc>
          <w:tcPr>
            <w:tcW w:w="1516" w:type="dxa"/>
            <w:gridSpan w:val="2"/>
            <w:tcBorders>
              <w:top w:val="single" w:sz="4" w:space="0" w:color="auto"/>
              <w:left w:val="nil"/>
              <w:bottom w:val="nil"/>
              <w:right w:val="single" w:sz="4" w:space="0" w:color="auto"/>
            </w:tcBorders>
            <w:shd w:val="clear" w:color="auto" w:fill="auto"/>
            <w:noWrap/>
            <w:vAlign w:val="bottom"/>
            <w:hideMark/>
          </w:tcPr>
          <w:p w14:paraId="2D7C1058"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REAGENTE</w:t>
            </w:r>
          </w:p>
        </w:tc>
        <w:tc>
          <w:tcPr>
            <w:tcW w:w="1843" w:type="dxa"/>
            <w:gridSpan w:val="2"/>
            <w:tcBorders>
              <w:top w:val="single" w:sz="4" w:space="0" w:color="auto"/>
              <w:left w:val="nil"/>
              <w:bottom w:val="nil"/>
              <w:right w:val="single" w:sz="4" w:space="0" w:color="auto"/>
            </w:tcBorders>
            <w:shd w:val="clear" w:color="auto" w:fill="auto"/>
            <w:noWrap/>
            <w:vAlign w:val="bottom"/>
            <w:hideMark/>
          </w:tcPr>
          <w:p w14:paraId="0B8BC043"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NÃO REAGENTE</w:t>
            </w:r>
          </w:p>
        </w:tc>
        <w:tc>
          <w:tcPr>
            <w:tcW w:w="927" w:type="dxa"/>
            <w:vMerge/>
            <w:tcBorders>
              <w:top w:val="nil"/>
              <w:left w:val="nil"/>
              <w:bottom w:val="single" w:sz="4" w:space="0" w:color="000000"/>
              <w:right w:val="single" w:sz="4" w:space="0" w:color="auto"/>
            </w:tcBorders>
            <w:vAlign w:val="center"/>
            <w:hideMark/>
          </w:tcPr>
          <w:p w14:paraId="0B5B8EFA" w14:textId="77777777" w:rsidR="007C1A0E" w:rsidRPr="00FB6704" w:rsidRDefault="007C1A0E" w:rsidP="00727D82">
            <w:pPr>
              <w:spacing w:after="0" w:line="240" w:lineRule="auto"/>
              <w:rPr>
                <w:rFonts w:ascii="Arial" w:eastAsia="Times New Roman" w:hAnsi="Arial" w:cs="Arial"/>
                <w:color w:val="000000"/>
                <w:sz w:val="24"/>
                <w:szCs w:val="24"/>
                <w:lang w:eastAsia="pt-BR"/>
              </w:rPr>
            </w:pPr>
          </w:p>
        </w:tc>
        <w:tc>
          <w:tcPr>
            <w:tcW w:w="1107" w:type="dxa"/>
            <w:vMerge/>
            <w:tcBorders>
              <w:top w:val="nil"/>
              <w:left w:val="nil"/>
              <w:bottom w:val="single" w:sz="4" w:space="0" w:color="000000"/>
              <w:right w:val="single" w:sz="4" w:space="0" w:color="auto"/>
            </w:tcBorders>
            <w:vAlign w:val="center"/>
            <w:hideMark/>
          </w:tcPr>
          <w:p w14:paraId="5288CEFB" w14:textId="77777777" w:rsidR="007C1A0E" w:rsidRPr="00FB6704" w:rsidRDefault="007C1A0E" w:rsidP="00727D82">
            <w:pPr>
              <w:spacing w:after="0" w:line="240" w:lineRule="auto"/>
              <w:rPr>
                <w:rFonts w:ascii="Arial" w:eastAsia="Times New Roman" w:hAnsi="Arial" w:cs="Arial"/>
                <w:color w:val="000000"/>
                <w:sz w:val="24"/>
                <w:szCs w:val="24"/>
                <w:lang w:eastAsia="pt-BR"/>
              </w:rPr>
            </w:pPr>
          </w:p>
        </w:tc>
      </w:tr>
      <w:tr w:rsidR="007C1A0E" w:rsidRPr="002B067C" w14:paraId="09B2735E" w14:textId="77777777" w:rsidTr="00FB6704">
        <w:trPr>
          <w:trHeight w:val="314"/>
        </w:trPr>
        <w:tc>
          <w:tcPr>
            <w:tcW w:w="2567" w:type="dxa"/>
            <w:vMerge/>
            <w:tcBorders>
              <w:top w:val="nil"/>
              <w:left w:val="single" w:sz="4" w:space="0" w:color="auto"/>
              <w:bottom w:val="single" w:sz="4" w:space="0" w:color="000000"/>
              <w:right w:val="single" w:sz="4" w:space="0" w:color="auto"/>
            </w:tcBorders>
            <w:vAlign w:val="center"/>
            <w:hideMark/>
          </w:tcPr>
          <w:p w14:paraId="7BC8B71D" w14:textId="77777777" w:rsidR="007C1A0E" w:rsidRPr="00FB6704" w:rsidRDefault="007C1A0E" w:rsidP="00727D82">
            <w:pPr>
              <w:spacing w:after="0" w:line="240" w:lineRule="auto"/>
              <w:rPr>
                <w:rFonts w:ascii="Arial" w:eastAsia="Times New Roman" w:hAnsi="Arial" w:cs="Arial"/>
                <w:color w:val="000000"/>
                <w:sz w:val="24"/>
                <w:szCs w:val="24"/>
                <w:lang w:eastAsia="pt-BR"/>
              </w:rPr>
            </w:pPr>
          </w:p>
        </w:tc>
        <w:tc>
          <w:tcPr>
            <w:tcW w:w="850" w:type="dxa"/>
            <w:vMerge/>
            <w:tcBorders>
              <w:top w:val="nil"/>
              <w:left w:val="single" w:sz="4" w:space="0" w:color="auto"/>
              <w:bottom w:val="single" w:sz="4" w:space="0" w:color="auto"/>
              <w:right w:val="single" w:sz="4" w:space="0" w:color="auto"/>
            </w:tcBorders>
            <w:vAlign w:val="center"/>
            <w:hideMark/>
          </w:tcPr>
          <w:p w14:paraId="5E25C4D3" w14:textId="77777777" w:rsidR="007C1A0E" w:rsidRPr="00FB6704" w:rsidRDefault="007C1A0E" w:rsidP="00727D82">
            <w:pPr>
              <w:spacing w:after="0" w:line="240" w:lineRule="auto"/>
              <w:rPr>
                <w:rFonts w:ascii="Arial" w:eastAsia="Times New Roman" w:hAnsi="Arial" w:cs="Arial"/>
                <w:color w:val="000000"/>
                <w:sz w:val="24"/>
                <w:szCs w:val="24"/>
                <w:lang w:eastAsia="pt-BR"/>
              </w:rPr>
            </w:pPr>
          </w:p>
        </w:tc>
        <w:tc>
          <w:tcPr>
            <w:tcW w:w="541" w:type="dxa"/>
            <w:tcBorders>
              <w:top w:val="single" w:sz="4" w:space="0" w:color="auto"/>
              <w:left w:val="nil"/>
              <w:bottom w:val="single" w:sz="4" w:space="0" w:color="auto"/>
              <w:right w:val="nil"/>
            </w:tcBorders>
            <w:shd w:val="clear" w:color="auto" w:fill="auto"/>
            <w:noWrap/>
            <w:vAlign w:val="bottom"/>
            <w:hideMark/>
          </w:tcPr>
          <w:p w14:paraId="69FCC511"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Nº</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10507"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w:t>
            </w:r>
          </w:p>
        </w:tc>
        <w:tc>
          <w:tcPr>
            <w:tcW w:w="492" w:type="dxa"/>
            <w:tcBorders>
              <w:top w:val="single" w:sz="4" w:space="0" w:color="auto"/>
              <w:left w:val="nil"/>
              <w:bottom w:val="single" w:sz="4" w:space="0" w:color="auto"/>
              <w:right w:val="nil"/>
            </w:tcBorders>
            <w:shd w:val="clear" w:color="auto" w:fill="auto"/>
            <w:noWrap/>
            <w:vAlign w:val="bottom"/>
            <w:hideMark/>
          </w:tcPr>
          <w:p w14:paraId="0ACAADF2"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Nº</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FCC92"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w:t>
            </w:r>
          </w:p>
        </w:tc>
        <w:tc>
          <w:tcPr>
            <w:tcW w:w="927" w:type="dxa"/>
            <w:vMerge/>
            <w:tcBorders>
              <w:top w:val="nil"/>
              <w:left w:val="nil"/>
              <w:bottom w:val="single" w:sz="4" w:space="0" w:color="auto"/>
              <w:right w:val="single" w:sz="4" w:space="0" w:color="auto"/>
            </w:tcBorders>
            <w:vAlign w:val="center"/>
            <w:hideMark/>
          </w:tcPr>
          <w:p w14:paraId="6DD7C498" w14:textId="77777777" w:rsidR="007C1A0E" w:rsidRPr="00FB6704" w:rsidRDefault="007C1A0E" w:rsidP="00727D82">
            <w:pPr>
              <w:spacing w:after="0" w:line="240" w:lineRule="auto"/>
              <w:rPr>
                <w:rFonts w:ascii="Arial" w:eastAsia="Times New Roman" w:hAnsi="Arial" w:cs="Arial"/>
                <w:color w:val="000000"/>
                <w:sz w:val="24"/>
                <w:szCs w:val="24"/>
                <w:lang w:eastAsia="pt-BR"/>
              </w:rPr>
            </w:pPr>
          </w:p>
        </w:tc>
        <w:tc>
          <w:tcPr>
            <w:tcW w:w="1107" w:type="dxa"/>
            <w:vMerge/>
            <w:tcBorders>
              <w:top w:val="nil"/>
              <w:left w:val="nil"/>
              <w:bottom w:val="single" w:sz="4" w:space="0" w:color="000000"/>
              <w:right w:val="single" w:sz="4" w:space="0" w:color="auto"/>
            </w:tcBorders>
            <w:vAlign w:val="center"/>
            <w:hideMark/>
          </w:tcPr>
          <w:p w14:paraId="099DE6F8" w14:textId="77777777" w:rsidR="007C1A0E" w:rsidRPr="00FB6704" w:rsidRDefault="007C1A0E" w:rsidP="00727D82">
            <w:pPr>
              <w:spacing w:after="0" w:line="240" w:lineRule="auto"/>
              <w:rPr>
                <w:rFonts w:ascii="Arial" w:eastAsia="Times New Roman" w:hAnsi="Arial" w:cs="Arial"/>
                <w:color w:val="000000"/>
                <w:sz w:val="24"/>
                <w:szCs w:val="24"/>
                <w:lang w:eastAsia="pt-BR"/>
              </w:rPr>
            </w:pPr>
          </w:p>
        </w:tc>
      </w:tr>
      <w:tr w:rsidR="007C1A0E" w:rsidRPr="002B067C" w14:paraId="2F0BA6B5" w14:textId="77777777" w:rsidTr="00FB6704">
        <w:trPr>
          <w:trHeight w:val="300"/>
        </w:trPr>
        <w:tc>
          <w:tcPr>
            <w:tcW w:w="2567" w:type="dxa"/>
            <w:vMerge w:val="restart"/>
            <w:tcBorders>
              <w:top w:val="nil"/>
              <w:left w:val="single" w:sz="4" w:space="0" w:color="auto"/>
              <w:bottom w:val="nil"/>
              <w:right w:val="single" w:sz="4" w:space="0" w:color="auto"/>
            </w:tcBorders>
            <w:shd w:val="clear" w:color="auto" w:fill="auto"/>
            <w:noWrap/>
            <w:vAlign w:val="center"/>
            <w:hideMark/>
          </w:tcPr>
          <w:p w14:paraId="1E008443"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ENFERMAGEM</w:t>
            </w:r>
          </w:p>
        </w:tc>
        <w:tc>
          <w:tcPr>
            <w:tcW w:w="850" w:type="dxa"/>
            <w:tcBorders>
              <w:top w:val="single" w:sz="4" w:space="0" w:color="auto"/>
              <w:left w:val="nil"/>
              <w:bottom w:val="nil"/>
              <w:right w:val="single" w:sz="4" w:space="0" w:color="auto"/>
            </w:tcBorders>
            <w:shd w:val="clear" w:color="auto" w:fill="auto"/>
            <w:noWrap/>
            <w:vAlign w:val="bottom"/>
            <w:hideMark/>
          </w:tcPr>
          <w:p w14:paraId="14DED123"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M</w:t>
            </w:r>
          </w:p>
        </w:tc>
        <w:tc>
          <w:tcPr>
            <w:tcW w:w="541" w:type="dxa"/>
            <w:tcBorders>
              <w:top w:val="single" w:sz="4" w:space="0" w:color="auto"/>
              <w:left w:val="single" w:sz="4" w:space="0" w:color="auto"/>
              <w:bottom w:val="nil"/>
              <w:right w:val="single" w:sz="4" w:space="0" w:color="auto"/>
            </w:tcBorders>
            <w:shd w:val="clear" w:color="auto" w:fill="auto"/>
            <w:noWrap/>
            <w:vAlign w:val="center"/>
            <w:hideMark/>
          </w:tcPr>
          <w:p w14:paraId="4309FA8A"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4</w:t>
            </w:r>
          </w:p>
        </w:tc>
        <w:tc>
          <w:tcPr>
            <w:tcW w:w="975" w:type="dxa"/>
            <w:tcBorders>
              <w:top w:val="nil"/>
              <w:left w:val="single" w:sz="4" w:space="0" w:color="auto"/>
              <w:bottom w:val="nil"/>
              <w:right w:val="single" w:sz="4" w:space="0" w:color="auto"/>
            </w:tcBorders>
            <w:shd w:val="clear" w:color="auto" w:fill="auto"/>
            <w:noWrap/>
            <w:vAlign w:val="center"/>
            <w:hideMark/>
          </w:tcPr>
          <w:p w14:paraId="70DD5D44"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3,57%</w:t>
            </w:r>
          </w:p>
        </w:tc>
        <w:tc>
          <w:tcPr>
            <w:tcW w:w="492" w:type="dxa"/>
            <w:tcBorders>
              <w:top w:val="single" w:sz="4" w:space="0" w:color="auto"/>
              <w:left w:val="single" w:sz="4" w:space="0" w:color="auto"/>
              <w:bottom w:val="nil"/>
              <w:right w:val="single" w:sz="4" w:space="0" w:color="auto"/>
            </w:tcBorders>
            <w:shd w:val="clear" w:color="auto" w:fill="auto"/>
            <w:noWrap/>
            <w:vAlign w:val="center"/>
            <w:hideMark/>
          </w:tcPr>
          <w:p w14:paraId="774FF16F"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0</w:t>
            </w:r>
          </w:p>
        </w:tc>
        <w:tc>
          <w:tcPr>
            <w:tcW w:w="1351" w:type="dxa"/>
            <w:tcBorders>
              <w:top w:val="single" w:sz="4" w:space="0" w:color="auto"/>
              <w:left w:val="single" w:sz="4" w:space="0" w:color="auto"/>
              <w:bottom w:val="nil"/>
              <w:right w:val="single" w:sz="4" w:space="0" w:color="auto"/>
            </w:tcBorders>
            <w:shd w:val="clear" w:color="auto" w:fill="auto"/>
            <w:noWrap/>
            <w:vAlign w:val="center"/>
            <w:hideMark/>
          </w:tcPr>
          <w:p w14:paraId="50EE39B7"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0,00%</w:t>
            </w:r>
          </w:p>
        </w:tc>
        <w:tc>
          <w:tcPr>
            <w:tcW w:w="927" w:type="dxa"/>
            <w:tcBorders>
              <w:top w:val="single" w:sz="4" w:space="0" w:color="auto"/>
              <w:left w:val="single" w:sz="4" w:space="0" w:color="auto"/>
              <w:bottom w:val="nil"/>
              <w:right w:val="single" w:sz="4" w:space="0" w:color="auto"/>
            </w:tcBorders>
            <w:shd w:val="clear" w:color="auto" w:fill="auto"/>
            <w:noWrap/>
            <w:vAlign w:val="center"/>
            <w:hideMark/>
          </w:tcPr>
          <w:p w14:paraId="5E290E33"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4</w:t>
            </w:r>
          </w:p>
        </w:tc>
        <w:tc>
          <w:tcPr>
            <w:tcW w:w="1107" w:type="dxa"/>
            <w:tcBorders>
              <w:top w:val="nil"/>
              <w:left w:val="nil"/>
              <w:bottom w:val="nil"/>
              <w:right w:val="single" w:sz="4" w:space="0" w:color="auto"/>
            </w:tcBorders>
            <w:shd w:val="clear" w:color="auto" w:fill="auto"/>
            <w:noWrap/>
            <w:vAlign w:val="center"/>
            <w:hideMark/>
          </w:tcPr>
          <w:p w14:paraId="6812A9DE"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3,57%</w:t>
            </w:r>
          </w:p>
        </w:tc>
      </w:tr>
      <w:tr w:rsidR="007C1A0E" w:rsidRPr="002B067C" w14:paraId="668CE84E" w14:textId="77777777" w:rsidTr="00FB6704">
        <w:trPr>
          <w:trHeight w:val="300"/>
        </w:trPr>
        <w:tc>
          <w:tcPr>
            <w:tcW w:w="2567" w:type="dxa"/>
            <w:vMerge/>
            <w:tcBorders>
              <w:top w:val="nil"/>
              <w:left w:val="single" w:sz="4" w:space="0" w:color="auto"/>
              <w:bottom w:val="nil"/>
              <w:right w:val="single" w:sz="4" w:space="0" w:color="auto"/>
            </w:tcBorders>
            <w:vAlign w:val="center"/>
            <w:hideMark/>
          </w:tcPr>
          <w:p w14:paraId="6D07274C" w14:textId="77777777" w:rsidR="007C1A0E" w:rsidRPr="00FB6704" w:rsidRDefault="007C1A0E" w:rsidP="00727D82">
            <w:pPr>
              <w:spacing w:after="0" w:line="240" w:lineRule="auto"/>
              <w:rPr>
                <w:rFonts w:ascii="Arial" w:eastAsia="Times New Roman" w:hAnsi="Arial" w:cs="Arial"/>
                <w:color w:val="000000"/>
                <w:sz w:val="24"/>
                <w:szCs w:val="24"/>
                <w:lang w:eastAsia="pt-BR"/>
              </w:rPr>
            </w:pPr>
          </w:p>
        </w:tc>
        <w:tc>
          <w:tcPr>
            <w:tcW w:w="850" w:type="dxa"/>
            <w:tcBorders>
              <w:top w:val="nil"/>
              <w:left w:val="nil"/>
              <w:bottom w:val="nil"/>
              <w:right w:val="single" w:sz="4" w:space="0" w:color="auto"/>
            </w:tcBorders>
            <w:shd w:val="clear" w:color="auto" w:fill="auto"/>
            <w:noWrap/>
            <w:vAlign w:val="bottom"/>
            <w:hideMark/>
          </w:tcPr>
          <w:p w14:paraId="467B7BA1"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F</w:t>
            </w:r>
          </w:p>
        </w:tc>
        <w:tc>
          <w:tcPr>
            <w:tcW w:w="541" w:type="dxa"/>
            <w:tcBorders>
              <w:top w:val="nil"/>
              <w:left w:val="single" w:sz="4" w:space="0" w:color="auto"/>
              <w:bottom w:val="nil"/>
              <w:right w:val="single" w:sz="4" w:space="0" w:color="auto"/>
            </w:tcBorders>
            <w:shd w:val="clear" w:color="auto" w:fill="auto"/>
            <w:noWrap/>
            <w:vAlign w:val="center"/>
            <w:hideMark/>
          </w:tcPr>
          <w:p w14:paraId="0A42B46C"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60</w:t>
            </w:r>
          </w:p>
        </w:tc>
        <w:tc>
          <w:tcPr>
            <w:tcW w:w="975" w:type="dxa"/>
            <w:tcBorders>
              <w:top w:val="nil"/>
              <w:left w:val="single" w:sz="4" w:space="0" w:color="auto"/>
              <w:bottom w:val="nil"/>
              <w:right w:val="single" w:sz="4" w:space="0" w:color="auto"/>
            </w:tcBorders>
            <w:shd w:val="clear" w:color="auto" w:fill="auto"/>
            <w:noWrap/>
            <w:vAlign w:val="center"/>
            <w:hideMark/>
          </w:tcPr>
          <w:p w14:paraId="3C103A0C"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53,57%</w:t>
            </w:r>
          </w:p>
        </w:tc>
        <w:tc>
          <w:tcPr>
            <w:tcW w:w="492" w:type="dxa"/>
            <w:tcBorders>
              <w:top w:val="nil"/>
              <w:left w:val="single" w:sz="4" w:space="0" w:color="auto"/>
              <w:bottom w:val="nil"/>
              <w:right w:val="single" w:sz="4" w:space="0" w:color="auto"/>
            </w:tcBorders>
            <w:shd w:val="clear" w:color="auto" w:fill="auto"/>
            <w:noWrap/>
            <w:vAlign w:val="center"/>
            <w:hideMark/>
          </w:tcPr>
          <w:p w14:paraId="558FBBA5"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0</w:t>
            </w:r>
          </w:p>
        </w:tc>
        <w:tc>
          <w:tcPr>
            <w:tcW w:w="1351" w:type="dxa"/>
            <w:tcBorders>
              <w:top w:val="nil"/>
              <w:left w:val="single" w:sz="4" w:space="0" w:color="auto"/>
              <w:bottom w:val="nil"/>
              <w:right w:val="single" w:sz="4" w:space="0" w:color="auto"/>
            </w:tcBorders>
            <w:shd w:val="clear" w:color="auto" w:fill="auto"/>
            <w:noWrap/>
            <w:vAlign w:val="center"/>
            <w:hideMark/>
          </w:tcPr>
          <w:p w14:paraId="061E8841"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0,00%</w:t>
            </w:r>
          </w:p>
        </w:tc>
        <w:tc>
          <w:tcPr>
            <w:tcW w:w="927" w:type="dxa"/>
            <w:tcBorders>
              <w:top w:val="nil"/>
              <w:left w:val="single" w:sz="4" w:space="0" w:color="auto"/>
              <w:bottom w:val="nil"/>
              <w:right w:val="single" w:sz="4" w:space="0" w:color="auto"/>
            </w:tcBorders>
            <w:shd w:val="clear" w:color="auto" w:fill="auto"/>
            <w:noWrap/>
            <w:vAlign w:val="center"/>
            <w:hideMark/>
          </w:tcPr>
          <w:p w14:paraId="5C5DDAE3"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60</w:t>
            </w:r>
          </w:p>
        </w:tc>
        <w:tc>
          <w:tcPr>
            <w:tcW w:w="1107" w:type="dxa"/>
            <w:tcBorders>
              <w:top w:val="nil"/>
              <w:left w:val="nil"/>
              <w:bottom w:val="nil"/>
              <w:right w:val="single" w:sz="4" w:space="0" w:color="auto"/>
            </w:tcBorders>
            <w:shd w:val="clear" w:color="auto" w:fill="auto"/>
            <w:noWrap/>
            <w:vAlign w:val="center"/>
            <w:hideMark/>
          </w:tcPr>
          <w:p w14:paraId="17A315ED"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53,57%</w:t>
            </w:r>
          </w:p>
        </w:tc>
      </w:tr>
      <w:tr w:rsidR="007C1A0E" w:rsidRPr="002B067C" w14:paraId="49FAEFA8" w14:textId="77777777" w:rsidTr="00FB6704">
        <w:trPr>
          <w:trHeight w:val="300"/>
        </w:trPr>
        <w:tc>
          <w:tcPr>
            <w:tcW w:w="2567" w:type="dxa"/>
            <w:tcBorders>
              <w:top w:val="nil"/>
              <w:left w:val="single" w:sz="4" w:space="0" w:color="auto"/>
              <w:bottom w:val="nil"/>
              <w:right w:val="nil"/>
            </w:tcBorders>
            <w:shd w:val="clear" w:color="auto" w:fill="auto"/>
            <w:noWrap/>
            <w:vAlign w:val="center"/>
            <w:hideMark/>
          </w:tcPr>
          <w:p w14:paraId="46B8F5EA"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ENFERMAGEM TOTAL</w:t>
            </w:r>
          </w:p>
        </w:tc>
        <w:tc>
          <w:tcPr>
            <w:tcW w:w="850" w:type="dxa"/>
            <w:tcBorders>
              <w:top w:val="nil"/>
              <w:left w:val="single" w:sz="4" w:space="0" w:color="auto"/>
              <w:bottom w:val="nil"/>
              <w:right w:val="single" w:sz="4" w:space="0" w:color="auto"/>
            </w:tcBorders>
            <w:shd w:val="clear" w:color="auto" w:fill="auto"/>
            <w:noWrap/>
            <w:vAlign w:val="center"/>
            <w:hideMark/>
          </w:tcPr>
          <w:p w14:paraId="40BEFC55"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M + F</w:t>
            </w:r>
          </w:p>
        </w:tc>
        <w:tc>
          <w:tcPr>
            <w:tcW w:w="541" w:type="dxa"/>
            <w:tcBorders>
              <w:top w:val="nil"/>
              <w:left w:val="single" w:sz="4" w:space="0" w:color="auto"/>
              <w:bottom w:val="single" w:sz="4" w:space="0" w:color="auto"/>
              <w:right w:val="single" w:sz="4" w:space="0" w:color="auto"/>
            </w:tcBorders>
            <w:shd w:val="clear" w:color="auto" w:fill="auto"/>
            <w:noWrap/>
            <w:vAlign w:val="center"/>
            <w:hideMark/>
          </w:tcPr>
          <w:p w14:paraId="79E3190D"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64</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1844EF34"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57,14%</w:t>
            </w:r>
          </w:p>
        </w:tc>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27994B86"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0</w:t>
            </w:r>
          </w:p>
        </w:tc>
        <w:tc>
          <w:tcPr>
            <w:tcW w:w="1351" w:type="dxa"/>
            <w:tcBorders>
              <w:top w:val="nil"/>
              <w:left w:val="single" w:sz="4" w:space="0" w:color="auto"/>
              <w:bottom w:val="nil"/>
              <w:right w:val="single" w:sz="4" w:space="0" w:color="auto"/>
            </w:tcBorders>
            <w:shd w:val="clear" w:color="auto" w:fill="auto"/>
            <w:noWrap/>
            <w:vAlign w:val="center"/>
            <w:hideMark/>
          </w:tcPr>
          <w:p w14:paraId="3EF31EE8"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0,00%</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14:paraId="0FF59236"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64</w:t>
            </w:r>
          </w:p>
        </w:tc>
        <w:tc>
          <w:tcPr>
            <w:tcW w:w="1107" w:type="dxa"/>
            <w:tcBorders>
              <w:top w:val="nil"/>
              <w:left w:val="nil"/>
              <w:bottom w:val="single" w:sz="4" w:space="0" w:color="auto"/>
              <w:right w:val="single" w:sz="4" w:space="0" w:color="auto"/>
            </w:tcBorders>
            <w:shd w:val="clear" w:color="auto" w:fill="auto"/>
            <w:noWrap/>
            <w:vAlign w:val="center"/>
            <w:hideMark/>
          </w:tcPr>
          <w:p w14:paraId="5AF6D29E"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57,14%</w:t>
            </w:r>
          </w:p>
        </w:tc>
      </w:tr>
      <w:tr w:rsidR="007C1A0E" w:rsidRPr="002B067C" w14:paraId="18C8007B" w14:textId="77777777" w:rsidTr="00FB6704">
        <w:trPr>
          <w:trHeight w:val="300"/>
        </w:trPr>
        <w:tc>
          <w:tcPr>
            <w:tcW w:w="2567" w:type="dxa"/>
            <w:vMerge w:val="restart"/>
            <w:tcBorders>
              <w:top w:val="single" w:sz="4" w:space="0" w:color="auto"/>
              <w:left w:val="single" w:sz="4" w:space="0" w:color="auto"/>
              <w:bottom w:val="nil"/>
              <w:right w:val="nil"/>
            </w:tcBorders>
            <w:shd w:val="clear" w:color="auto" w:fill="auto"/>
            <w:noWrap/>
            <w:vAlign w:val="center"/>
            <w:hideMark/>
          </w:tcPr>
          <w:p w14:paraId="3AC8EE54"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CIRURGIÕES</w:t>
            </w:r>
          </w:p>
        </w:tc>
        <w:tc>
          <w:tcPr>
            <w:tcW w:w="850" w:type="dxa"/>
            <w:tcBorders>
              <w:top w:val="single" w:sz="4" w:space="0" w:color="auto"/>
              <w:left w:val="single" w:sz="4" w:space="0" w:color="auto"/>
              <w:bottom w:val="nil"/>
              <w:right w:val="single" w:sz="4" w:space="0" w:color="auto"/>
            </w:tcBorders>
            <w:shd w:val="clear" w:color="auto" w:fill="auto"/>
            <w:noWrap/>
            <w:vAlign w:val="bottom"/>
            <w:hideMark/>
          </w:tcPr>
          <w:p w14:paraId="496BCE61"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M</w:t>
            </w:r>
          </w:p>
        </w:tc>
        <w:tc>
          <w:tcPr>
            <w:tcW w:w="541" w:type="dxa"/>
            <w:tcBorders>
              <w:top w:val="nil"/>
              <w:left w:val="single" w:sz="4" w:space="0" w:color="auto"/>
              <w:bottom w:val="nil"/>
              <w:right w:val="single" w:sz="4" w:space="0" w:color="auto"/>
            </w:tcBorders>
            <w:shd w:val="clear" w:color="auto" w:fill="auto"/>
            <w:noWrap/>
            <w:vAlign w:val="center"/>
            <w:hideMark/>
          </w:tcPr>
          <w:p w14:paraId="47D92C1D"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34</w:t>
            </w:r>
          </w:p>
        </w:tc>
        <w:tc>
          <w:tcPr>
            <w:tcW w:w="975" w:type="dxa"/>
            <w:tcBorders>
              <w:top w:val="nil"/>
              <w:left w:val="single" w:sz="4" w:space="0" w:color="auto"/>
              <w:bottom w:val="nil"/>
              <w:right w:val="single" w:sz="4" w:space="0" w:color="auto"/>
            </w:tcBorders>
            <w:shd w:val="clear" w:color="auto" w:fill="auto"/>
            <w:noWrap/>
            <w:vAlign w:val="center"/>
            <w:hideMark/>
          </w:tcPr>
          <w:p w14:paraId="717E3C4F"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30,36%</w:t>
            </w:r>
          </w:p>
        </w:tc>
        <w:tc>
          <w:tcPr>
            <w:tcW w:w="492" w:type="dxa"/>
            <w:tcBorders>
              <w:top w:val="nil"/>
              <w:left w:val="single" w:sz="4" w:space="0" w:color="auto"/>
              <w:bottom w:val="nil"/>
              <w:right w:val="single" w:sz="4" w:space="0" w:color="auto"/>
            </w:tcBorders>
            <w:shd w:val="clear" w:color="auto" w:fill="auto"/>
            <w:noWrap/>
            <w:vAlign w:val="center"/>
            <w:hideMark/>
          </w:tcPr>
          <w:p w14:paraId="12DC927F"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4</w:t>
            </w:r>
          </w:p>
        </w:tc>
        <w:tc>
          <w:tcPr>
            <w:tcW w:w="1351" w:type="dxa"/>
            <w:tcBorders>
              <w:top w:val="single" w:sz="4" w:space="0" w:color="auto"/>
              <w:left w:val="single" w:sz="4" w:space="0" w:color="auto"/>
              <w:bottom w:val="nil"/>
              <w:right w:val="single" w:sz="4" w:space="0" w:color="auto"/>
            </w:tcBorders>
            <w:shd w:val="clear" w:color="auto" w:fill="auto"/>
            <w:noWrap/>
            <w:vAlign w:val="center"/>
            <w:hideMark/>
          </w:tcPr>
          <w:p w14:paraId="32ECC5EA"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3,57%</w:t>
            </w:r>
          </w:p>
        </w:tc>
        <w:tc>
          <w:tcPr>
            <w:tcW w:w="927" w:type="dxa"/>
            <w:tcBorders>
              <w:top w:val="single" w:sz="4" w:space="0" w:color="auto"/>
              <w:left w:val="single" w:sz="4" w:space="0" w:color="auto"/>
              <w:bottom w:val="nil"/>
              <w:right w:val="single" w:sz="4" w:space="0" w:color="auto"/>
            </w:tcBorders>
            <w:shd w:val="clear" w:color="auto" w:fill="auto"/>
            <w:noWrap/>
            <w:vAlign w:val="center"/>
            <w:hideMark/>
          </w:tcPr>
          <w:p w14:paraId="40716931"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38</w:t>
            </w:r>
          </w:p>
        </w:tc>
        <w:tc>
          <w:tcPr>
            <w:tcW w:w="1107" w:type="dxa"/>
            <w:tcBorders>
              <w:top w:val="nil"/>
              <w:left w:val="nil"/>
              <w:bottom w:val="nil"/>
              <w:right w:val="single" w:sz="4" w:space="0" w:color="auto"/>
            </w:tcBorders>
            <w:shd w:val="clear" w:color="auto" w:fill="auto"/>
            <w:noWrap/>
            <w:vAlign w:val="center"/>
            <w:hideMark/>
          </w:tcPr>
          <w:p w14:paraId="59DD45B4"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33,93%</w:t>
            </w:r>
          </w:p>
        </w:tc>
      </w:tr>
      <w:tr w:rsidR="007C1A0E" w:rsidRPr="002B067C" w14:paraId="63B4ECB6" w14:textId="77777777" w:rsidTr="00FB6704">
        <w:trPr>
          <w:trHeight w:val="300"/>
        </w:trPr>
        <w:tc>
          <w:tcPr>
            <w:tcW w:w="2567" w:type="dxa"/>
            <w:vMerge/>
            <w:tcBorders>
              <w:top w:val="single" w:sz="4" w:space="0" w:color="auto"/>
              <w:left w:val="single" w:sz="4" w:space="0" w:color="auto"/>
              <w:bottom w:val="nil"/>
              <w:right w:val="nil"/>
            </w:tcBorders>
            <w:vAlign w:val="center"/>
            <w:hideMark/>
          </w:tcPr>
          <w:p w14:paraId="4BC72C59" w14:textId="77777777" w:rsidR="007C1A0E" w:rsidRPr="00FB6704" w:rsidRDefault="007C1A0E" w:rsidP="00727D82">
            <w:pPr>
              <w:spacing w:after="0" w:line="240" w:lineRule="auto"/>
              <w:rPr>
                <w:rFonts w:ascii="Arial" w:eastAsia="Times New Roman" w:hAnsi="Arial" w:cs="Arial"/>
                <w:color w:val="000000"/>
                <w:sz w:val="24"/>
                <w:szCs w:val="24"/>
                <w:lang w:eastAsia="pt-BR"/>
              </w:rPr>
            </w:pPr>
          </w:p>
        </w:tc>
        <w:tc>
          <w:tcPr>
            <w:tcW w:w="850" w:type="dxa"/>
            <w:tcBorders>
              <w:top w:val="nil"/>
              <w:left w:val="single" w:sz="4" w:space="0" w:color="auto"/>
              <w:bottom w:val="nil"/>
              <w:right w:val="single" w:sz="4" w:space="0" w:color="auto"/>
            </w:tcBorders>
            <w:shd w:val="clear" w:color="auto" w:fill="auto"/>
            <w:noWrap/>
            <w:vAlign w:val="bottom"/>
            <w:hideMark/>
          </w:tcPr>
          <w:p w14:paraId="32FD3EFB"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F</w:t>
            </w:r>
          </w:p>
        </w:tc>
        <w:tc>
          <w:tcPr>
            <w:tcW w:w="541" w:type="dxa"/>
            <w:tcBorders>
              <w:top w:val="nil"/>
              <w:left w:val="single" w:sz="4" w:space="0" w:color="auto"/>
              <w:bottom w:val="nil"/>
              <w:right w:val="single" w:sz="4" w:space="0" w:color="auto"/>
            </w:tcBorders>
            <w:shd w:val="clear" w:color="auto" w:fill="auto"/>
            <w:noWrap/>
            <w:vAlign w:val="center"/>
            <w:hideMark/>
          </w:tcPr>
          <w:p w14:paraId="3865E532"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10</w:t>
            </w:r>
          </w:p>
        </w:tc>
        <w:tc>
          <w:tcPr>
            <w:tcW w:w="975" w:type="dxa"/>
            <w:tcBorders>
              <w:top w:val="nil"/>
              <w:left w:val="single" w:sz="4" w:space="0" w:color="auto"/>
              <w:bottom w:val="nil"/>
              <w:right w:val="single" w:sz="4" w:space="0" w:color="auto"/>
            </w:tcBorders>
            <w:shd w:val="clear" w:color="auto" w:fill="auto"/>
            <w:noWrap/>
            <w:vAlign w:val="center"/>
            <w:hideMark/>
          </w:tcPr>
          <w:p w14:paraId="381689FA"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8,93%</w:t>
            </w:r>
          </w:p>
        </w:tc>
        <w:tc>
          <w:tcPr>
            <w:tcW w:w="492" w:type="dxa"/>
            <w:tcBorders>
              <w:top w:val="nil"/>
              <w:left w:val="single" w:sz="4" w:space="0" w:color="auto"/>
              <w:bottom w:val="nil"/>
              <w:right w:val="single" w:sz="4" w:space="0" w:color="auto"/>
            </w:tcBorders>
            <w:shd w:val="clear" w:color="auto" w:fill="auto"/>
            <w:noWrap/>
            <w:vAlign w:val="center"/>
            <w:hideMark/>
          </w:tcPr>
          <w:p w14:paraId="53B81B5A"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0</w:t>
            </w:r>
          </w:p>
        </w:tc>
        <w:tc>
          <w:tcPr>
            <w:tcW w:w="1351" w:type="dxa"/>
            <w:tcBorders>
              <w:top w:val="nil"/>
              <w:left w:val="single" w:sz="4" w:space="0" w:color="auto"/>
              <w:bottom w:val="nil"/>
              <w:right w:val="single" w:sz="4" w:space="0" w:color="auto"/>
            </w:tcBorders>
            <w:shd w:val="clear" w:color="auto" w:fill="auto"/>
            <w:noWrap/>
            <w:vAlign w:val="center"/>
            <w:hideMark/>
          </w:tcPr>
          <w:p w14:paraId="58FE3C3D"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0,00%</w:t>
            </w:r>
          </w:p>
        </w:tc>
        <w:tc>
          <w:tcPr>
            <w:tcW w:w="927" w:type="dxa"/>
            <w:tcBorders>
              <w:top w:val="nil"/>
              <w:left w:val="single" w:sz="4" w:space="0" w:color="auto"/>
              <w:bottom w:val="nil"/>
              <w:right w:val="single" w:sz="4" w:space="0" w:color="auto"/>
            </w:tcBorders>
            <w:shd w:val="clear" w:color="auto" w:fill="auto"/>
            <w:noWrap/>
            <w:vAlign w:val="center"/>
            <w:hideMark/>
          </w:tcPr>
          <w:p w14:paraId="2C59C342"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10</w:t>
            </w:r>
          </w:p>
        </w:tc>
        <w:tc>
          <w:tcPr>
            <w:tcW w:w="1107" w:type="dxa"/>
            <w:tcBorders>
              <w:top w:val="nil"/>
              <w:left w:val="nil"/>
              <w:bottom w:val="nil"/>
              <w:right w:val="single" w:sz="4" w:space="0" w:color="auto"/>
            </w:tcBorders>
            <w:shd w:val="clear" w:color="auto" w:fill="auto"/>
            <w:noWrap/>
            <w:vAlign w:val="center"/>
            <w:hideMark/>
          </w:tcPr>
          <w:p w14:paraId="0AA47F51"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8,93%</w:t>
            </w:r>
          </w:p>
        </w:tc>
      </w:tr>
      <w:tr w:rsidR="007C1A0E" w:rsidRPr="002B067C" w14:paraId="43EDEECC" w14:textId="77777777" w:rsidTr="00FB6704">
        <w:trPr>
          <w:trHeight w:val="300"/>
        </w:trPr>
        <w:tc>
          <w:tcPr>
            <w:tcW w:w="2567" w:type="dxa"/>
            <w:tcBorders>
              <w:top w:val="nil"/>
              <w:left w:val="single" w:sz="4" w:space="0" w:color="auto"/>
              <w:bottom w:val="single" w:sz="4" w:space="0" w:color="auto"/>
              <w:right w:val="nil"/>
            </w:tcBorders>
            <w:shd w:val="clear" w:color="auto" w:fill="auto"/>
            <w:noWrap/>
            <w:vAlign w:val="center"/>
            <w:hideMark/>
          </w:tcPr>
          <w:p w14:paraId="2EE9FB5A"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CIRURGIÕES TOTAL</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15C817D"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M + F</w:t>
            </w:r>
          </w:p>
        </w:tc>
        <w:tc>
          <w:tcPr>
            <w:tcW w:w="541" w:type="dxa"/>
            <w:tcBorders>
              <w:top w:val="nil"/>
              <w:left w:val="single" w:sz="4" w:space="0" w:color="auto"/>
              <w:bottom w:val="single" w:sz="4" w:space="0" w:color="auto"/>
              <w:right w:val="single" w:sz="4" w:space="0" w:color="auto"/>
            </w:tcBorders>
            <w:shd w:val="clear" w:color="auto" w:fill="auto"/>
            <w:noWrap/>
            <w:vAlign w:val="center"/>
            <w:hideMark/>
          </w:tcPr>
          <w:p w14:paraId="34E0716D"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44</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16C3459"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39,29%</w:t>
            </w:r>
          </w:p>
        </w:tc>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4F20F453"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4</w:t>
            </w:r>
          </w:p>
        </w:tc>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3E4A049F"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3,57%</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14:paraId="38A013E4"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48</w:t>
            </w:r>
          </w:p>
        </w:tc>
        <w:tc>
          <w:tcPr>
            <w:tcW w:w="1107" w:type="dxa"/>
            <w:tcBorders>
              <w:top w:val="nil"/>
              <w:left w:val="nil"/>
              <w:bottom w:val="single" w:sz="4" w:space="0" w:color="auto"/>
              <w:right w:val="single" w:sz="4" w:space="0" w:color="auto"/>
            </w:tcBorders>
            <w:shd w:val="clear" w:color="auto" w:fill="auto"/>
            <w:noWrap/>
            <w:vAlign w:val="center"/>
            <w:hideMark/>
          </w:tcPr>
          <w:p w14:paraId="7027DA48"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42,86%</w:t>
            </w:r>
          </w:p>
        </w:tc>
      </w:tr>
      <w:tr w:rsidR="007C1A0E" w:rsidRPr="002B067C" w14:paraId="6576816B" w14:textId="77777777" w:rsidTr="00FB6704">
        <w:trPr>
          <w:trHeight w:val="392"/>
        </w:trPr>
        <w:tc>
          <w:tcPr>
            <w:tcW w:w="2567" w:type="dxa"/>
            <w:tcBorders>
              <w:top w:val="nil"/>
              <w:left w:val="single" w:sz="4" w:space="0" w:color="auto"/>
              <w:bottom w:val="single" w:sz="4" w:space="0" w:color="auto"/>
              <w:right w:val="nil"/>
            </w:tcBorders>
            <w:shd w:val="clear" w:color="auto" w:fill="auto"/>
            <w:noWrap/>
            <w:vAlign w:val="center"/>
            <w:hideMark/>
          </w:tcPr>
          <w:p w14:paraId="19EEDEA7"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TOTAL FEMININO</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BE07EA3"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F</w:t>
            </w:r>
          </w:p>
        </w:tc>
        <w:tc>
          <w:tcPr>
            <w:tcW w:w="541" w:type="dxa"/>
            <w:tcBorders>
              <w:top w:val="nil"/>
              <w:left w:val="single" w:sz="4" w:space="0" w:color="auto"/>
              <w:bottom w:val="single" w:sz="4" w:space="0" w:color="auto"/>
              <w:right w:val="single" w:sz="4" w:space="0" w:color="auto"/>
            </w:tcBorders>
            <w:shd w:val="clear" w:color="auto" w:fill="auto"/>
            <w:noWrap/>
            <w:vAlign w:val="center"/>
            <w:hideMark/>
          </w:tcPr>
          <w:p w14:paraId="6E67287A"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70</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0688B481"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62,50%</w:t>
            </w:r>
          </w:p>
        </w:tc>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458166CB"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0</w:t>
            </w:r>
          </w:p>
        </w:tc>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105160DA"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D3C47"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70</w:t>
            </w:r>
          </w:p>
        </w:tc>
        <w:tc>
          <w:tcPr>
            <w:tcW w:w="1107" w:type="dxa"/>
            <w:tcBorders>
              <w:top w:val="nil"/>
              <w:left w:val="nil"/>
              <w:bottom w:val="single" w:sz="4" w:space="0" w:color="auto"/>
              <w:right w:val="single" w:sz="4" w:space="0" w:color="auto"/>
            </w:tcBorders>
            <w:shd w:val="clear" w:color="auto" w:fill="auto"/>
            <w:noWrap/>
            <w:vAlign w:val="center"/>
            <w:hideMark/>
          </w:tcPr>
          <w:p w14:paraId="39FE224C"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62,50%</w:t>
            </w:r>
          </w:p>
        </w:tc>
      </w:tr>
      <w:tr w:rsidR="007C1A0E" w:rsidRPr="002B067C" w14:paraId="5C862710" w14:textId="77777777" w:rsidTr="00FB6704">
        <w:trPr>
          <w:trHeight w:val="386"/>
        </w:trPr>
        <w:tc>
          <w:tcPr>
            <w:tcW w:w="2567" w:type="dxa"/>
            <w:tcBorders>
              <w:top w:val="nil"/>
              <w:left w:val="single" w:sz="4" w:space="0" w:color="auto"/>
              <w:bottom w:val="single" w:sz="4" w:space="0" w:color="auto"/>
              <w:right w:val="nil"/>
            </w:tcBorders>
            <w:shd w:val="clear" w:color="auto" w:fill="auto"/>
            <w:noWrap/>
            <w:vAlign w:val="center"/>
            <w:hideMark/>
          </w:tcPr>
          <w:p w14:paraId="0E4FCE79"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TOTAL MASCULINO</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6B0C150"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M</w:t>
            </w:r>
          </w:p>
        </w:tc>
        <w:tc>
          <w:tcPr>
            <w:tcW w:w="541" w:type="dxa"/>
            <w:tcBorders>
              <w:top w:val="nil"/>
              <w:left w:val="single" w:sz="4" w:space="0" w:color="auto"/>
              <w:bottom w:val="single" w:sz="4" w:space="0" w:color="auto"/>
              <w:right w:val="single" w:sz="4" w:space="0" w:color="auto"/>
            </w:tcBorders>
            <w:shd w:val="clear" w:color="auto" w:fill="auto"/>
            <w:noWrap/>
            <w:vAlign w:val="center"/>
            <w:hideMark/>
          </w:tcPr>
          <w:p w14:paraId="65F4ED3B"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38</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003DE21B"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33,93%</w:t>
            </w:r>
          </w:p>
        </w:tc>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117C7F9"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4</w:t>
            </w:r>
          </w:p>
        </w:tc>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685F9511"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3,57%</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68DD6"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42</w:t>
            </w:r>
          </w:p>
        </w:tc>
        <w:tc>
          <w:tcPr>
            <w:tcW w:w="1107" w:type="dxa"/>
            <w:tcBorders>
              <w:top w:val="nil"/>
              <w:left w:val="nil"/>
              <w:bottom w:val="single" w:sz="4" w:space="0" w:color="auto"/>
              <w:right w:val="single" w:sz="4" w:space="0" w:color="auto"/>
            </w:tcBorders>
            <w:shd w:val="clear" w:color="auto" w:fill="auto"/>
            <w:noWrap/>
            <w:vAlign w:val="center"/>
            <w:hideMark/>
          </w:tcPr>
          <w:p w14:paraId="68DC0A5B"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37,50%</w:t>
            </w:r>
          </w:p>
        </w:tc>
      </w:tr>
      <w:tr w:rsidR="007C1A0E" w:rsidRPr="002B067C" w14:paraId="41524DB5" w14:textId="77777777" w:rsidTr="00FB6704">
        <w:trPr>
          <w:trHeight w:val="408"/>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21958122"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TOTAL GERAL</w:t>
            </w:r>
          </w:p>
        </w:tc>
        <w:tc>
          <w:tcPr>
            <w:tcW w:w="850" w:type="dxa"/>
            <w:tcBorders>
              <w:top w:val="nil"/>
              <w:left w:val="nil"/>
              <w:bottom w:val="single" w:sz="4" w:space="0" w:color="auto"/>
              <w:right w:val="single" w:sz="4" w:space="0" w:color="auto"/>
            </w:tcBorders>
            <w:shd w:val="clear" w:color="auto" w:fill="auto"/>
            <w:noWrap/>
            <w:vAlign w:val="center"/>
            <w:hideMark/>
          </w:tcPr>
          <w:p w14:paraId="7F87B38A"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M + F</w:t>
            </w:r>
          </w:p>
        </w:tc>
        <w:tc>
          <w:tcPr>
            <w:tcW w:w="541" w:type="dxa"/>
            <w:tcBorders>
              <w:top w:val="nil"/>
              <w:left w:val="nil"/>
              <w:bottom w:val="single" w:sz="4" w:space="0" w:color="auto"/>
              <w:right w:val="single" w:sz="4" w:space="0" w:color="auto"/>
            </w:tcBorders>
            <w:shd w:val="clear" w:color="auto" w:fill="auto"/>
            <w:noWrap/>
            <w:vAlign w:val="bottom"/>
            <w:hideMark/>
          </w:tcPr>
          <w:p w14:paraId="13FFAC32"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108</w:t>
            </w: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527DC5C4"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96,43%</w:t>
            </w:r>
          </w:p>
        </w:tc>
        <w:tc>
          <w:tcPr>
            <w:tcW w:w="492" w:type="dxa"/>
            <w:tcBorders>
              <w:top w:val="nil"/>
              <w:left w:val="nil"/>
              <w:bottom w:val="single" w:sz="4" w:space="0" w:color="auto"/>
              <w:right w:val="nil"/>
            </w:tcBorders>
            <w:shd w:val="clear" w:color="auto" w:fill="auto"/>
            <w:noWrap/>
            <w:vAlign w:val="bottom"/>
            <w:hideMark/>
          </w:tcPr>
          <w:p w14:paraId="3E18D49C"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4</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1276F"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3,57%</w:t>
            </w:r>
          </w:p>
        </w:tc>
        <w:tc>
          <w:tcPr>
            <w:tcW w:w="927" w:type="dxa"/>
            <w:tcBorders>
              <w:top w:val="nil"/>
              <w:left w:val="nil"/>
              <w:bottom w:val="single" w:sz="4" w:space="0" w:color="auto"/>
              <w:right w:val="single" w:sz="4" w:space="0" w:color="auto"/>
            </w:tcBorders>
            <w:shd w:val="clear" w:color="auto" w:fill="auto"/>
            <w:noWrap/>
            <w:vAlign w:val="center"/>
            <w:hideMark/>
          </w:tcPr>
          <w:p w14:paraId="1672A119"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112</w:t>
            </w:r>
          </w:p>
        </w:tc>
        <w:tc>
          <w:tcPr>
            <w:tcW w:w="1107" w:type="dxa"/>
            <w:tcBorders>
              <w:top w:val="nil"/>
              <w:left w:val="nil"/>
              <w:bottom w:val="single" w:sz="4" w:space="0" w:color="auto"/>
              <w:right w:val="single" w:sz="4" w:space="0" w:color="auto"/>
            </w:tcBorders>
            <w:shd w:val="clear" w:color="auto" w:fill="auto"/>
            <w:noWrap/>
            <w:vAlign w:val="center"/>
            <w:hideMark/>
          </w:tcPr>
          <w:p w14:paraId="469AF268"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100%</w:t>
            </w:r>
          </w:p>
        </w:tc>
      </w:tr>
    </w:tbl>
    <w:p w14:paraId="0D7BEF00" w14:textId="77777777" w:rsidR="004D5CCC" w:rsidRPr="00462F39" w:rsidRDefault="00CD2292">
      <w:pPr>
        <w:spacing w:after="0" w:line="240" w:lineRule="auto"/>
        <w:ind w:firstLine="851"/>
        <w:jc w:val="both"/>
        <w:rPr>
          <w:rFonts w:ascii="Arial" w:hAnsi="Arial" w:cs="Arial"/>
          <w:sz w:val="20"/>
          <w:szCs w:val="20"/>
        </w:rPr>
      </w:pPr>
      <w:r w:rsidRPr="00CD2292">
        <w:rPr>
          <w:rFonts w:ascii="Arial" w:hAnsi="Arial" w:cs="Arial"/>
          <w:sz w:val="20"/>
          <w:szCs w:val="20"/>
        </w:rPr>
        <w:t>Fonte: Dados da Pesquisa (2020)</w:t>
      </w:r>
    </w:p>
    <w:p w14:paraId="668C8919" w14:textId="77777777" w:rsidR="00E83D26" w:rsidRDefault="00E83D26" w:rsidP="00CD3247">
      <w:pPr>
        <w:spacing w:after="0" w:line="360" w:lineRule="auto"/>
        <w:ind w:firstLine="709"/>
        <w:jc w:val="both"/>
        <w:rPr>
          <w:rFonts w:ascii="Arial" w:hAnsi="Arial" w:cs="Arial"/>
          <w:sz w:val="24"/>
          <w:szCs w:val="24"/>
        </w:rPr>
      </w:pPr>
    </w:p>
    <w:p w14:paraId="38746377" w14:textId="77777777" w:rsidR="007C1A0E" w:rsidRPr="0085080D" w:rsidRDefault="007C1A0E" w:rsidP="00CD3247">
      <w:pPr>
        <w:spacing w:after="0" w:line="360" w:lineRule="auto"/>
        <w:ind w:firstLine="709"/>
        <w:jc w:val="both"/>
        <w:rPr>
          <w:rFonts w:ascii="Arial" w:hAnsi="Arial" w:cs="Arial"/>
          <w:sz w:val="24"/>
          <w:szCs w:val="24"/>
        </w:rPr>
      </w:pPr>
      <w:r w:rsidRPr="0085080D">
        <w:rPr>
          <w:rFonts w:ascii="Arial" w:hAnsi="Arial" w:cs="Arial"/>
          <w:sz w:val="24"/>
          <w:szCs w:val="24"/>
        </w:rPr>
        <w:t>Em relação à idade, dividimos o estudo em 3 grupos distintos: entre 18 e 29 anos (grupo 1), entre 30 e 39 anos (grupo 2) e acima de 40 anos (grupo 3). Apenas um indivíduo do grupo 1 e um indivíduo do grupo 2 apresentaram resultado não reagente (0,89% cada). No grupo 3 foram observados dois casos não reagentes (1,79%, arredondados por regra matemática). Dessa forma, 94,12% daqueles entre 18 a 29 anos se mostraram protegidos contra o VHB; já na faixa entre 30 a 39 anos, 97,93% estavam protegidos; no grupo acima de 40 anos, 95,92%. A tabela 2 mostra os resultados compilados por grupos de idade.</w:t>
      </w:r>
    </w:p>
    <w:p w14:paraId="6418AED6" w14:textId="3AC3644F" w:rsidR="004F6EFD" w:rsidRDefault="007C1A0E">
      <w:pPr>
        <w:spacing w:after="0" w:line="360" w:lineRule="auto"/>
        <w:ind w:firstLine="709"/>
        <w:jc w:val="both"/>
        <w:rPr>
          <w:rFonts w:ascii="Arial" w:hAnsi="Arial" w:cs="Arial"/>
          <w:sz w:val="24"/>
          <w:szCs w:val="24"/>
        </w:rPr>
      </w:pPr>
      <w:r w:rsidRPr="0085080D">
        <w:rPr>
          <w:rFonts w:ascii="Arial" w:hAnsi="Arial" w:cs="Arial"/>
          <w:sz w:val="24"/>
          <w:szCs w:val="24"/>
        </w:rPr>
        <w:lastRenderedPageBreak/>
        <w:t xml:space="preserve">No total, 96,43% (108) dos analisados apresentaram resultado </w:t>
      </w:r>
      <w:proofErr w:type="spellStart"/>
      <w:r w:rsidRPr="0085080D">
        <w:rPr>
          <w:rFonts w:ascii="Arial" w:hAnsi="Arial" w:cs="Arial"/>
          <w:sz w:val="24"/>
          <w:szCs w:val="24"/>
        </w:rPr>
        <w:t>Anti-HBs</w:t>
      </w:r>
      <w:proofErr w:type="spellEnd"/>
      <w:r w:rsidRPr="0085080D">
        <w:rPr>
          <w:rFonts w:ascii="Arial" w:hAnsi="Arial" w:cs="Arial"/>
          <w:sz w:val="24"/>
          <w:szCs w:val="24"/>
        </w:rPr>
        <w:t xml:space="preserve"> reagente, e 3,57% (4) não reagentes.</w:t>
      </w:r>
    </w:p>
    <w:p w14:paraId="09A4CE39" w14:textId="77777777" w:rsidR="00054FDA" w:rsidRDefault="00054FDA">
      <w:pPr>
        <w:spacing w:after="0" w:line="360" w:lineRule="auto"/>
        <w:ind w:firstLine="709"/>
        <w:jc w:val="both"/>
        <w:rPr>
          <w:rFonts w:ascii="Arial" w:hAnsi="Arial" w:cs="Arial"/>
          <w:sz w:val="24"/>
          <w:szCs w:val="24"/>
        </w:rPr>
      </w:pPr>
    </w:p>
    <w:p w14:paraId="21F82315" w14:textId="47328DEA" w:rsidR="00FB6704" w:rsidRPr="00FB6704" w:rsidRDefault="00FB6704" w:rsidP="00FB6704">
      <w:pPr>
        <w:pStyle w:val="Legenda"/>
        <w:keepNext/>
        <w:rPr>
          <w:rFonts w:ascii="Arial" w:hAnsi="Arial" w:cs="Arial"/>
          <w:color w:val="auto"/>
          <w:sz w:val="24"/>
          <w:szCs w:val="24"/>
        </w:rPr>
      </w:pPr>
      <w:r w:rsidRPr="00FB6704">
        <w:rPr>
          <w:rFonts w:ascii="Arial" w:hAnsi="Arial" w:cs="Arial"/>
          <w:color w:val="auto"/>
          <w:sz w:val="24"/>
          <w:szCs w:val="24"/>
        </w:rPr>
        <w:t xml:space="preserve">Tabela </w:t>
      </w:r>
      <w:r w:rsidR="00CD2292" w:rsidRPr="00FB6704">
        <w:rPr>
          <w:rFonts w:ascii="Arial" w:hAnsi="Arial" w:cs="Arial"/>
          <w:color w:val="auto"/>
          <w:sz w:val="24"/>
          <w:szCs w:val="24"/>
        </w:rPr>
        <w:fldChar w:fldCharType="begin"/>
      </w:r>
      <w:r w:rsidRPr="00FB6704">
        <w:rPr>
          <w:rFonts w:ascii="Arial" w:hAnsi="Arial" w:cs="Arial"/>
          <w:color w:val="auto"/>
          <w:sz w:val="24"/>
          <w:szCs w:val="24"/>
        </w:rPr>
        <w:instrText xml:space="preserve"> SEQ Tabela \* ARABIC </w:instrText>
      </w:r>
      <w:r w:rsidR="00CD2292" w:rsidRPr="00FB6704">
        <w:rPr>
          <w:rFonts w:ascii="Arial" w:hAnsi="Arial" w:cs="Arial"/>
          <w:color w:val="auto"/>
          <w:sz w:val="24"/>
          <w:szCs w:val="24"/>
        </w:rPr>
        <w:fldChar w:fldCharType="separate"/>
      </w:r>
      <w:r w:rsidR="008842F5">
        <w:rPr>
          <w:rFonts w:ascii="Arial" w:hAnsi="Arial" w:cs="Arial"/>
          <w:noProof/>
          <w:color w:val="auto"/>
          <w:sz w:val="24"/>
          <w:szCs w:val="24"/>
        </w:rPr>
        <w:t>2</w:t>
      </w:r>
      <w:r w:rsidR="00CD2292" w:rsidRPr="00FB6704">
        <w:rPr>
          <w:rFonts w:ascii="Arial" w:hAnsi="Arial" w:cs="Arial"/>
          <w:color w:val="auto"/>
          <w:sz w:val="24"/>
          <w:szCs w:val="24"/>
        </w:rPr>
        <w:fldChar w:fldCharType="end"/>
      </w:r>
      <w:r w:rsidRPr="00FB6704">
        <w:rPr>
          <w:rFonts w:ascii="Arial" w:hAnsi="Arial" w:cs="Arial"/>
          <w:color w:val="auto"/>
          <w:sz w:val="24"/>
          <w:szCs w:val="24"/>
        </w:rPr>
        <w:t xml:space="preserve">- Exame </w:t>
      </w:r>
      <w:proofErr w:type="spellStart"/>
      <w:r w:rsidRPr="00FB6704">
        <w:rPr>
          <w:rFonts w:ascii="Arial" w:hAnsi="Arial" w:cs="Arial"/>
          <w:color w:val="auto"/>
          <w:sz w:val="24"/>
          <w:szCs w:val="24"/>
        </w:rPr>
        <w:t>Anti-HBs</w:t>
      </w:r>
      <w:proofErr w:type="spellEnd"/>
      <w:r w:rsidRPr="00FB6704">
        <w:rPr>
          <w:rFonts w:ascii="Arial" w:hAnsi="Arial" w:cs="Arial"/>
          <w:color w:val="auto"/>
          <w:sz w:val="24"/>
          <w:szCs w:val="24"/>
        </w:rPr>
        <w:t xml:space="preserve"> por grupos de idade</w:t>
      </w:r>
    </w:p>
    <w:tbl>
      <w:tblPr>
        <w:tblW w:w="8333" w:type="dxa"/>
        <w:tblInd w:w="55" w:type="dxa"/>
        <w:tblCellMar>
          <w:left w:w="70" w:type="dxa"/>
          <w:right w:w="70" w:type="dxa"/>
        </w:tblCellMar>
        <w:tblLook w:val="04A0" w:firstRow="1" w:lastRow="0" w:firstColumn="1" w:lastColumn="0" w:noHBand="0" w:noVBand="1"/>
      </w:tblPr>
      <w:tblGrid>
        <w:gridCol w:w="2772"/>
        <w:gridCol w:w="541"/>
        <w:gridCol w:w="954"/>
        <w:gridCol w:w="401"/>
        <w:gridCol w:w="1537"/>
        <w:gridCol w:w="927"/>
        <w:gridCol w:w="1201"/>
      </w:tblGrid>
      <w:tr w:rsidR="007C1A0E" w:rsidRPr="00FD7C12" w14:paraId="471D31AD" w14:textId="77777777" w:rsidTr="00FB6704">
        <w:trPr>
          <w:trHeight w:val="300"/>
        </w:trPr>
        <w:tc>
          <w:tcPr>
            <w:tcW w:w="833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766A037" w14:textId="77777777" w:rsidR="007C1A0E" w:rsidRPr="00FB6704" w:rsidRDefault="007C1A0E" w:rsidP="00727D82">
            <w:pPr>
              <w:spacing w:after="0" w:line="240" w:lineRule="auto"/>
              <w:jc w:val="center"/>
              <w:rPr>
                <w:rFonts w:ascii="Arial" w:eastAsia="Times New Roman" w:hAnsi="Arial" w:cs="Arial"/>
                <w:b/>
                <w:bCs/>
                <w:color w:val="000000"/>
                <w:sz w:val="24"/>
                <w:szCs w:val="24"/>
                <w:lang w:eastAsia="pt-BR"/>
              </w:rPr>
            </w:pPr>
          </w:p>
        </w:tc>
      </w:tr>
      <w:tr w:rsidR="007C1A0E" w:rsidRPr="00FD7C12" w14:paraId="3A616C17" w14:textId="77777777" w:rsidTr="00FB6704">
        <w:trPr>
          <w:trHeight w:val="300"/>
        </w:trPr>
        <w:tc>
          <w:tcPr>
            <w:tcW w:w="2772" w:type="dxa"/>
            <w:vMerge w:val="restart"/>
            <w:tcBorders>
              <w:top w:val="nil"/>
              <w:left w:val="single" w:sz="4" w:space="0" w:color="auto"/>
              <w:bottom w:val="single" w:sz="4" w:space="0" w:color="000000"/>
              <w:right w:val="single" w:sz="4" w:space="0" w:color="auto"/>
            </w:tcBorders>
            <w:shd w:val="clear" w:color="auto" w:fill="auto"/>
            <w:vAlign w:val="center"/>
            <w:hideMark/>
          </w:tcPr>
          <w:p w14:paraId="46078F91"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CATEGORIA</w:t>
            </w:r>
          </w:p>
        </w:tc>
        <w:tc>
          <w:tcPr>
            <w:tcW w:w="3433" w:type="dxa"/>
            <w:gridSpan w:val="4"/>
            <w:tcBorders>
              <w:top w:val="single" w:sz="4" w:space="0" w:color="auto"/>
              <w:left w:val="nil"/>
              <w:bottom w:val="single" w:sz="4" w:space="0" w:color="auto"/>
              <w:right w:val="single" w:sz="4" w:space="0" w:color="auto"/>
            </w:tcBorders>
            <w:shd w:val="clear" w:color="auto" w:fill="auto"/>
            <w:noWrap/>
            <w:vAlign w:val="bottom"/>
            <w:hideMark/>
          </w:tcPr>
          <w:p w14:paraId="2B1B7FB9"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ANTI HBS</w:t>
            </w:r>
          </w:p>
        </w:tc>
        <w:tc>
          <w:tcPr>
            <w:tcW w:w="927" w:type="dxa"/>
            <w:vMerge w:val="restart"/>
            <w:tcBorders>
              <w:top w:val="nil"/>
              <w:left w:val="nil"/>
              <w:bottom w:val="single" w:sz="4" w:space="0" w:color="000000"/>
              <w:right w:val="single" w:sz="4" w:space="0" w:color="auto"/>
            </w:tcBorders>
            <w:shd w:val="clear" w:color="auto" w:fill="auto"/>
            <w:vAlign w:val="center"/>
            <w:hideMark/>
          </w:tcPr>
          <w:p w14:paraId="58FFB213"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TOTAL</w:t>
            </w:r>
          </w:p>
        </w:tc>
        <w:tc>
          <w:tcPr>
            <w:tcW w:w="1201" w:type="dxa"/>
            <w:vMerge w:val="restart"/>
            <w:tcBorders>
              <w:top w:val="nil"/>
              <w:left w:val="nil"/>
              <w:bottom w:val="single" w:sz="4" w:space="0" w:color="000000"/>
              <w:right w:val="single" w:sz="4" w:space="0" w:color="auto"/>
            </w:tcBorders>
            <w:shd w:val="clear" w:color="auto" w:fill="auto"/>
            <w:vAlign w:val="center"/>
            <w:hideMark/>
          </w:tcPr>
          <w:p w14:paraId="645F62E2"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TOTAL (%)</w:t>
            </w:r>
          </w:p>
        </w:tc>
      </w:tr>
      <w:tr w:rsidR="007C1A0E" w:rsidRPr="00FD7C12" w14:paraId="5B66CEAF" w14:textId="77777777" w:rsidTr="00FB6704">
        <w:trPr>
          <w:trHeight w:val="300"/>
        </w:trPr>
        <w:tc>
          <w:tcPr>
            <w:tcW w:w="2772" w:type="dxa"/>
            <w:vMerge/>
            <w:tcBorders>
              <w:top w:val="nil"/>
              <w:left w:val="single" w:sz="4" w:space="0" w:color="auto"/>
              <w:bottom w:val="single" w:sz="4" w:space="0" w:color="000000"/>
              <w:right w:val="single" w:sz="4" w:space="0" w:color="auto"/>
            </w:tcBorders>
            <w:vAlign w:val="center"/>
            <w:hideMark/>
          </w:tcPr>
          <w:p w14:paraId="467C8F16" w14:textId="77777777" w:rsidR="007C1A0E" w:rsidRPr="00FB6704" w:rsidRDefault="007C1A0E" w:rsidP="00727D82">
            <w:pPr>
              <w:spacing w:after="0" w:line="240" w:lineRule="auto"/>
              <w:rPr>
                <w:rFonts w:ascii="Arial" w:eastAsia="Times New Roman" w:hAnsi="Arial" w:cs="Arial"/>
                <w:color w:val="000000"/>
                <w:sz w:val="24"/>
                <w:szCs w:val="24"/>
                <w:lang w:eastAsia="pt-BR"/>
              </w:rPr>
            </w:pPr>
          </w:p>
        </w:tc>
        <w:tc>
          <w:tcPr>
            <w:tcW w:w="1495" w:type="dxa"/>
            <w:gridSpan w:val="2"/>
            <w:tcBorders>
              <w:top w:val="single" w:sz="4" w:space="0" w:color="auto"/>
              <w:left w:val="nil"/>
              <w:bottom w:val="nil"/>
              <w:right w:val="single" w:sz="4" w:space="0" w:color="auto"/>
            </w:tcBorders>
            <w:shd w:val="clear" w:color="auto" w:fill="auto"/>
            <w:noWrap/>
            <w:vAlign w:val="bottom"/>
            <w:hideMark/>
          </w:tcPr>
          <w:p w14:paraId="338A2BF0"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REAGENTE</w:t>
            </w:r>
          </w:p>
        </w:tc>
        <w:tc>
          <w:tcPr>
            <w:tcW w:w="1938" w:type="dxa"/>
            <w:gridSpan w:val="2"/>
            <w:tcBorders>
              <w:top w:val="single" w:sz="4" w:space="0" w:color="auto"/>
              <w:left w:val="nil"/>
              <w:bottom w:val="nil"/>
              <w:right w:val="single" w:sz="4" w:space="0" w:color="auto"/>
            </w:tcBorders>
            <w:shd w:val="clear" w:color="auto" w:fill="auto"/>
            <w:noWrap/>
            <w:vAlign w:val="bottom"/>
            <w:hideMark/>
          </w:tcPr>
          <w:p w14:paraId="56C47412"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NÃO REAGENTE</w:t>
            </w:r>
          </w:p>
        </w:tc>
        <w:tc>
          <w:tcPr>
            <w:tcW w:w="927" w:type="dxa"/>
            <w:vMerge/>
            <w:tcBorders>
              <w:top w:val="nil"/>
              <w:left w:val="nil"/>
              <w:bottom w:val="single" w:sz="4" w:space="0" w:color="000000"/>
              <w:right w:val="single" w:sz="4" w:space="0" w:color="auto"/>
            </w:tcBorders>
            <w:vAlign w:val="center"/>
            <w:hideMark/>
          </w:tcPr>
          <w:p w14:paraId="49A5C73B" w14:textId="77777777" w:rsidR="007C1A0E" w:rsidRPr="00FB6704" w:rsidRDefault="007C1A0E" w:rsidP="00727D82">
            <w:pPr>
              <w:spacing w:after="0" w:line="240" w:lineRule="auto"/>
              <w:rPr>
                <w:rFonts w:ascii="Arial" w:eastAsia="Times New Roman" w:hAnsi="Arial" w:cs="Arial"/>
                <w:color w:val="000000"/>
                <w:sz w:val="24"/>
                <w:szCs w:val="24"/>
                <w:lang w:eastAsia="pt-BR"/>
              </w:rPr>
            </w:pPr>
          </w:p>
        </w:tc>
        <w:tc>
          <w:tcPr>
            <w:tcW w:w="1201" w:type="dxa"/>
            <w:vMerge/>
            <w:tcBorders>
              <w:top w:val="nil"/>
              <w:left w:val="nil"/>
              <w:bottom w:val="single" w:sz="4" w:space="0" w:color="000000"/>
              <w:right w:val="single" w:sz="4" w:space="0" w:color="auto"/>
            </w:tcBorders>
            <w:vAlign w:val="center"/>
            <w:hideMark/>
          </w:tcPr>
          <w:p w14:paraId="77D90376" w14:textId="77777777" w:rsidR="007C1A0E" w:rsidRPr="00FB6704" w:rsidRDefault="007C1A0E" w:rsidP="00727D82">
            <w:pPr>
              <w:spacing w:after="0" w:line="240" w:lineRule="auto"/>
              <w:rPr>
                <w:rFonts w:ascii="Arial" w:eastAsia="Times New Roman" w:hAnsi="Arial" w:cs="Arial"/>
                <w:color w:val="000000"/>
                <w:sz w:val="24"/>
                <w:szCs w:val="24"/>
                <w:lang w:eastAsia="pt-BR"/>
              </w:rPr>
            </w:pPr>
          </w:p>
        </w:tc>
      </w:tr>
      <w:tr w:rsidR="007C1A0E" w:rsidRPr="00FD7C12" w14:paraId="32E91A58" w14:textId="77777777" w:rsidTr="00FB6704">
        <w:trPr>
          <w:trHeight w:val="300"/>
        </w:trPr>
        <w:tc>
          <w:tcPr>
            <w:tcW w:w="2772" w:type="dxa"/>
            <w:vMerge/>
            <w:tcBorders>
              <w:top w:val="nil"/>
              <w:left w:val="single" w:sz="4" w:space="0" w:color="auto"/>
              <w:bottom w:val="single" w:sz="4" w:space="0" w:color="000000"/>
              <w:right w:val="single" w:sz="4" w:space="0" w:color="auto"/>
            </w:tcBorders>
            <w:vAlign w:val="center"/>
            <w:hideMark/>
          </w:tcPr>
          <w:p w14:paraId="1214037E" w14:textId="77777777" w:rsidR="007C1A0E" w:rsidRPr="00FB6704" w:rsidRDefault="007C1A0E" w:rsidP="00727D82">
            <w:pPr>
              <w:spacing w:after="0" w:line="240" w:lineRule="auto"/>
              <w:rPr>
                <w:rFonts w:ascii="Arial" w:eastAsia="Times New Roman" w:hAnsi="Arial" w:cs="Arial"/>
                <w:color w:val="000000"/>
                <w:sz w:val="24"/>
                <w:szCs w:val="24"/>
                <w:lang w:eastAsia="pt-BR"/>
              </w:rPr>
            </w:pPr>
          </w:p>
        </w:tc>
        <w:tc>
          <w:tcPr>
            <w:tcW w:w="541" w:type="dxa"/>
            <w:tcBorders>
              <w:top w:val="single" w:sz="4" w:space="0" w:color="auto"/>
              <w:left w:val="nil"/>
              <w:bottom w:val="nil"/>
              <w:right w:val="nil"/>
            </w:tcBorders>
            <w:shd w:val="clear" w:color="auto" w:fill="auto"/>
            <w:noWrap/>
            <w:vAlign w:val="bottom"/>
            <w:hideMark/>
          </w:tcPr>
          <w:p w14:paraId="24D6AC2D"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Nº</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8050D"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w:t>
            </w:r>
          </w:p>
        </w:tc>
        <w:tc>
          <w:tcPr>
            <w:tcW w:w="401" w:type="dxa"/>
            <w:tcBorders>
              <w:top w:val="single" w:sz="4" w:space="0" w:color="auto"/>
              <w:left w:val="nil"/>
              <w:bottom w:val="nil"/>
              <w:right w:val="nil"/>
            </w:tcBorders>
            <w:shd w:val="clear" w:color="auto" w:fill="auto"/>
            <w:noWrap/>
            <w:vAlign w:val="bottom"/>
            <w:hideMark/>
          </w:tcPr>
          <w:p w14:paraId="1506A13C"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Nº</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448A6"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w:t>
            </w:r>
          </w:p>
        </w:tc>
        <w:tc>
          <w:tcPr>
            <w:tcW w:w="927" w:type="dxa"/>
            <w:vMerge/>
            <w:tcBorders>
              <w:top w:val="nil"/>
              <w:left w:val="nil"/>
              <w:bottom w:val="single" w:sz="4" w:space="0" w:color="000000"/>
              <w:right w:val="single" w:sz="4" w:space="0" w:color="auto"/>
            </w:tcBorders>
            <w:vAlign w:val="center"/>
            <w:hideMark/>
          </w:tcPr>
          <w:p w14:paraId="3443D794" w14:textId="77777777" w:rsidR="007C1A0E" w:rsidRPr="00FB6704" w:rsidRDefault="007C1A0E" w:rsidP="00727D82">
            <w:pPr>
              <w:spacing w:after="0" w:line="240" w:lineRule="auto"/>
              <w:rPr>
                <w:rFonts w:ascii="Arial" w:eastAsia="Times New Roman" w:hAnsi="Arial" w:cs="Arial"/>
                <w:color w:val="000000"/>
                <w:sz w:val="24"/>
                <w:szCs w:val="24"/>
                <w:lang w:eastAsia="pt-BR"/>
              </w:rPr>
            </w:pPr>
          </w:p>
        </w:tc>
        <w:tc>
          <w:tcPr>
            <w:tcW w:w="1201" w:type="dxa"/>
            <w:vMerge/>
            <w:tcBorders>
              <w:top w:val="nil"/>
              <w:left w:val="nil"/>
              <w:bottom w:val="single" w:sz="4" w:space="0" w:color="000000"/>
              <w:right w:val="single" w:sz="4" w:space="0" w:color="auto"/>
            </w:tcBorders>
            <w:vAlign w:val="center"/>
            <w:hideMark/>
          </w:tcPr>
          <w:p w14:paraId="29B2295A" w14:textId="77777777" w:rsidR="007C1A0E" w:rsidRPr="00FB6704" w:rsidRDefault="007C1A0E" w:rsidP="00727D82">
            <w:pPr>
              <w:spacing w:after="0" w:line="240" w:lineRule="auto"/>
              <w:rPr>
                <w:rFonts w:ascii="Arial" w:eastAsia="Times New Roman" w:hAnsi="Arial" w:cs="Arial"/>
                <w:color w:val="000000"/>
                <w:sz w:val="24"/>
                <w:szCs w:val="24"/>
                <w:lang w:eastAsia="pt-BR"/>
              </w:rPr>
            </w:pPr>
          </w:p>
        </w:tc>
      </w:tr>
      <w:tr w:rsidR="007C1A0E" w:rsidRPr="00FD7C12" w14:paraId="5DD42525" w14:textId="77777777" w:rsidTr="00FB6704">
        <w:trPr>
          <w:trHeight w:val="300"/>
        </w:trPr>
        <w:tc>
          <w:tcPr>
            <w:tcW w:w="2772" w:type="dxa"/>
            <w:tcBorders>
              <w:top w:val="nil"/>
              <w:left w:val="single" w:sz="4" w:space="0" w:color="auto"/>
              <w:bottom w:val="single" w:sz="4" w:space="0" w:color="auto"/>
              <w:right w:val="single" w:sz="4" w:space="0" w:color="auto"/>
            </w:tcBorders>
            <w:shd w:val="clear" w:color="auto" w:fill="auto"/>
            <w:noWrap/>
            <w:vAlign w:val="center"/>
            <w:hideMark/>
          </w:tcPr>
          <w:p w14:paraId="33A461BC"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ENTRE 18 E 29 ANOS</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14:paraId="444632E0"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16</w:t>
            </w:r>
          </w:p>
        </w:tc>
        <w:tc>
          <w:tcPr>
            <w:tcW w:w="954" w:type="dxa"/>
            <w:tcBorders>
              <w:top w:val="nil"/>
              <w:left w:val="nil"/>
              <w:bottom w:val="single" w:sz="4" w:space="0" w:color="auto"/>
              <w:right w:val="single" w:sz="4" w:space="0" w:color="auto"/>
            </w:tcBorders>
            <w:shd w:val="clear" w:color="auto" w:fill="auto"/>
            <w:noWrap/>
            <w:vAlign w:val="center"/>
            <w:hideMark/>
          </w:tcPr>
          <w:p w14:paraId="541AA373"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14,29%</w:t>
            </w:r>
          </w:p>
        </w:tc>
        <w:tc>
          <w:tcPr>
            <w:tcW w:w="401" w:type="dxa"/>
            <w:tcBorders>
              <w:top w:val="single" w:sz="4" w:space="0" w:color="auto"/>
              <w:left w:val="nil"/>
              <w:bottom w:val="single" w:sz="4" w:space="0" w:color="auto"/>
              <w:right w:val="single" w:sz="4" w:space="0" w:color="auto"/>
            </w:tcBorders>
            <w:shd w:val="clear" w:color="auto" w:fill="auto"/>
            <w:noWrap/>
            <w:vAlign w:val="center"/>
            <w:hideMark/>
          </w:tcPr>
          <w:p w14:paraId="1CFD5815"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1</w:t>
            </w:r>
          </w:p>
        </w:tc>
        <w:tc>
          <w:tcPr>
            <w:tcW w:w="1537" w:type="dxa"/>
            <w:tcBorders>
              <w:top w:val="nil"/>
              <w:left w:val="nil"/>
              <w:bottom w:val="single" w:sz="4" w:space="0" w:color="auto"/>
              <w:right w:val="single" w:sz="4" w:space="0" w:color="auto"/>
            </w:tcBorders>
            <w:shd w:val="clear" w:color="auto" w:fill="auto"/>
            <w:noWrap/>
            <w:vAlign w:val="center"/>
            <w:hideMark/>
          </w:tcPr>
          <w:p w14:paraId="3E28E749"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0,89%</w:t>
            </w:r>
          </w:p>
        </w:tc>
        <w:tc>
          <w:tcPr>
            <w:tcW w:w="927" w:type="dxa"/>
            <w:tcBorders>
              <w:top w:val="nil"/>
              <w:left w:val="nil"/>
              <w:bottom w:val="single" w:sz="4" w:space="0" w:color="auto"/>
              <w:right w:val="single" w:sz="4" w:space="0" w:color="auto"/>
            </w:tcBorders>
            <w:shd w:val="clear" w:color="auto" w:fill="auto"/>
            <w:noWrap/>
            <w:vAlign w:val="center"/>
            <w:hideMark/>
          </w:tcPr>
          <w:p w14:paraId="423DA433"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17</w:t>
            </w:r>
          </w:p>
        </w:tc>
        <w:tc>
          <w:tcPr>
            <w:tcW w:w="1201" w:type="dxa"/>
            <w:tcBorders>
              <w:top w:val="nil"/>
              <w:left w:val="nil"/>
              <w:bottom w:val="single" w:sz="4" w:space="0" w:color="auto"/>
              <w:right w:val="single" w:sz="4" w:space="0" w:color="auto"/>
            </w:tcBorders>
            <w:shd w:val="clear" w:color="auto" w:fill="auto"/>
            <w:noWrap/>
            <w:vAlign w:val="center"/>
            <w:hideMark/>
          </w:tcPr>
          <w:p w14:paraId="51D119B5"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15,18%</w:t>
            </w:r>
          </w:p>
        </w:tc>
      </w:tr>
      <w:tr w:rsidR="007C1A0E" w:rsidRPr="00FD7C12" w14:paraId="7CCA6329" w14:textId="77777777" w:rsidTr="00FB6704">
        <w:trPr>
          <w:trHeight w:val="300"/>
        </w:trPr>
        <w:tc>
          <w:tcPr>
            <w:tcW w:w="2772" w:type="dxa"/>
            <w:tcBorders>
              <w:top w:val="nil"/>
              <w:left w:val="single" w:sz="4" w:space="0" w:color="auto"/>
              <w:bottom w:val="single" w:sz="4" w:space="0" w:color="auto"/>
              <w:right w:val="single" w:sz="4" w:space="0" w:color="auto"/>
            </w:tcBorders>
            <w:shd w:val="clear" w:color="auto" w:fill="auto"/>
            <w:noWrap/>
            <w:vAlign w:val="center"/>
            <w:hideMark/>
          </w:tcPr>
          <w:p w14:paraId="2EA1E7F7"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ENTRE 30 E 39 ANOS</w:t>
            </w:r>
          </w:p>
        </w:tc>
        <w:tc>
          <w:tcPr>
            <w:tcW w:w="541" w:type="dxa"/>
            <w:tcBorders>
              <w:top w:val="nil"/>
              <w:left w:val="nil"/>
              <w:bottom w:val="single" w:sz="4" w:space="0" w:color="auto"/>
              <w:right w:val="single" w:sz="4" w:space="0" w:color="auto"/>
            </w:tcBorders>
            <w:shd w:val="clear" w:color="auto" w:fill="auto"/>
            <w:noWrap/>
            <w:vAlign w:val="center"/>
            <w:hideMark/>
          </w:tcPr>
          <w:p w14:paraId="144CBB4F"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45</w:t>
            </w:r>
          </w:p>
        </w:tc>
        <w:tc>
          <w:tcPr>
            <w:tcW w:w="954" w:type="dxa"/>
            <w:tcBorders>
              <w:top w:val="nil"/>
              <w:left w:val="nil"/>
              <w:bottom w:val="single" w:sz="4" w:space="0" w:color="auto"/>
              <w:right w:val="single" w:sz="4" w:space="0" w:color="auto"/>
            </w:tcBorders>
            <w:shd w:val="clear" w:color="auto" w:fill="auto"/>
            <w:noWrap/>
            <w:vAlign w:val="center"/>
            <w:hideMark/>
          </w:tcPr>
          <w:p w14:paraId="5EBA919A"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40,18%</w:t>
            </w:r>
          </w:p>
        </w:tc>
        <w:tc>
          <w:tcPr>
            <w:tcW w:w="401" w:type="dxa"/>
            <w:tcBorders>
              <w:top w:val="nil"/>
              <w:left w:val="nil"/>
              <w:bottom w:val="single" w:sz="4" w:space="0" w:color="auto"/>
              <w:right w:val="single" w:sz="4" w:space="0" w:color="auto"/>
            </w:tcBorders>
            <w:shd w:val="clear" w:color="auto" w:fill="auto"/>
            <w:noWrap/>
            <w:vAlign w:val="center"/>
            <w:hideMark/>
          </w:tcPr>
          <w:p w14:paraId="36709ADC"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1</w:t>
            </w:r>
          </w:p>
        </w:tc>
        <w:tc>
          <w:tcPr>
            <w:tcW w:w="1537" w:type="dxa"/>
            <w:tcBorders>
              <w:top w:val="nil"/>
              <w:left w:val="nil"/>
              <w:bottom w:val="single" w:sz="4" w:space="0" w:color="auto"/>
              <w:right w:val="single" w:sz="4" w:space="0" w:color="auto"/>
            </w:tcBorders>
            <w:shd w:val="clear" w:color="auto" w:fill="auto"/>
            <w:noWrap/>
            <w:vAlign w:val="center"/>
            <w:hideMark/>
          </w:tcPr>
          <w:p w14:paraId="18F1C291"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0,89%</w:t>
            </w:r>
          </w:p>
        </w:tc>
        <w:tc>
          <w:tcPr>
            <w:tcW w:w="927" w:type="dxa"/>
            <w:tcBorders>
              <w:top w:val="nil"/>
              <w:left w:val="nil"/>
              <w:bottom w:val="single" w:sz="4" w:space="0" w:color="auto"/>
              <w:right w:val="single" w:sz="4" w:space="0" w:color="auto"/>
            </w:tcBorders>
            <w:shd w:val="clear" w:color="auto" w:fill="auto"/>
            <w:noWrap/>
            <w:vAlign w:val="center"/>
            <w:hideMark/>
          </w:tcPr>
          <w:p w14:paraId="0DC1E396"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46</w:t>
            </w:r>
          </w:p>
        </w:tc>
        <w:tc>
          <w:tcPr>
            <w:tcW w:w="1201" w:type="dxa"/>
            <w:tcBorders>
              <w:top w:val="nil"/>
              <w:left w:val="nil"/>
              <w:bottom w:val="single" w:sz="4" w:space="0" w:color="auto"/>
              <w:right w:val="single" w:sz="4" w:space="0" w:color="auto"/>
            </w:tcBorders>
            <w:shd w:val="clear" w:color="auto" w:fill="auto"/>
            <w:noWrap/>
            <w:vAlign w:val="center"/>
            <w:hideMark/>
          </w:tcPr>
          <w:p w14:paraId="624499BA"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41,07%</w:t>
            </w:r>
          </w:p>
        </w:tc>
      </w:tr>
      <w:tr w:rsidR="007C1A0E" w:rsidRPr="00FD7C12" w14:paraId="3B87F5ED" w14:textId="77777777" w:rsidTr="00FB6704">
        <w:trPr>
          <w:trHeight w:val="300"/>
        </w:trPr>
        <w:tc>
          <w:tcPr>
            <w:tcW w:w="2772" w:type="dxa"/>
            <w:tcBorders>
              <w:top w:val="nil"/>
              <w:left w:val="single" w:sz="4" w:space="0" w:color="auto"/>
              <w:bottom w:val="single" w:sz="4" w:space="0" w:color="auto"/>
              <w:right w:val="single" w:sz="4" w:space="0" w:color="auto"/>
            </w:tcBorders>
            <w:shd w:val="clear" w:color="auto" w:fill="auto"/>
            <w:noWrap/>
            <w:vAlign w:val="center"/>
            <w:hideMark/>
          </w:tcPr>
          <w:p w14:paraId="7B4B1FFD"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ACIMA DE 40</w:t>
            </w:r>
          </w:p>
        </w:tc>
        <w:tc>
          <w:tcPr>
            <w:tcW w:w="541" w:type="dxa"/>
            <w:tcBorders>
              <w:top w:val="nil"/>
              <w:left w:val="nil"/>
              <w:bottom w:val="single" w:sz="4" w:space="0" w:color="auto"/>
              <w:right w:val="single" w:sz="4" w:space="0" w:color="auto"/>
            </w:tcBorders>
            <w:shd w:val="clear" w:color="auto" w:fill="auto"/>
            <w:noWrap/>
            <w:vAlign w:val="center"/>
            <w:hideMark/>
          </w:tcPr>
          <w:p w14:paraId="0C17361B"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47</w:t>
            </w:r>
          </w:p>
        </w:tc>
        <w:tc>
          <w:tcPr>
            <w:tcW w:w="954" w:type="dxa"/>
            <w:tcBorders>
              <w:top w:val="nil"/>
              <w:left w:val="nil"/>
              <w:bottom w:val="single" w:sz="4" w:space="0" w:color="auto"/>
              <w:right w:val="single" w:sz="4" w:space="0" w:color="auto"/>
            </w:tcBorders>
            <w:shd w:val="clear" w:color="auto" w:fill="auto"/>
            <w:noWrap/>
            <w:vAlign w:val="center"/>
            <w:hideMark/>
          </w:tcPr>
          <w:p w14:paraId="718373C3"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41,96%</w:t>
            </w:r>
          </w:p>
        </w:tc>
        <w:tc>
          <w:tcPr>
            <w:tcW w:w="401" w:type="dxa"/>
            <w:tcBorders>
              <w:top w:val="nil"/>
              <w:left w:val="nil"/>
              <w:bottom w:val="single" w:sz="4" w:space="0" w:color="auto"/>
              <w:right w:val="single" w:sz="4" w:space="0" w:color="auto"/>
            </w:tcBorders>
            <w:shd w:val="clear" w:color="auto" w:fill="auto"/>
            <w:noWrap/>
            <w:vAlign w:val="center"/>
            <w:hideMark/>
          </w:tcPr>
          <w:p w14:paraId="5AFCE464"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2</w:t>
            </w:r>
          </w:p>
        </w:tc>
        <w:tc>
          <w:tcPr>
            <w:tcW w:w="1537" w:type="dxa"/>
            <w:tcBorders>
              <w:top w:val="nil"/>
              <w:left w:val="nil"/>
              <w:bottom w:val="single" w:sz="4" w:space="0" w:color="auto"/>
              <w:right w:val="single" w:sz="4" w:space="0" w:color="auto"/>
            </w:tcBorders>
            <w:shd w:val="clear" w:color="auto" w:fill="auto"/>
            <w:noWrap/>
            <w:vAlign w:val="center"/>
            <w:hideMark/>
          </w:tcPr>
          <w:p w14:paraId="32D2C78A"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1,79%</w:t>
            </w:r>
          </w:p>
        </w:tc>
        <w:tc>
          <w:tcPr>
            <w:tcW w:w="927" w:type="dxa"/>
            <w:tcBorders>
              <w:top w:val="nil"/>
              <w:left w:val="nil"/>
              <w:bottom w:val="single" w:sz="4" w:space="0" w:color="auto"/>
              <w:right w:val="single" w:sz="4" w:space="0" w:color="auto"/>
            </w:tcBorders>
            <w:shd w:val="clear" w:color="auto" w:fill="auto"/>
            <w:noWrap/>
            <w:vAlign w:val="center"/>
            <w:hideMark/>
          </w:tcPr>
          <w:p w14:paraId="5B3DD299"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49</w:t>
            </w:r>
          </w:p>
        </w:tc>
        <w:tc>
          <w:tcPr>
            <w:tcW w:w="1201" w:type="dxa"/>
            <w:tcBorders>
              <w:top w:val="nil"/>
              <w:left w:val="nil"/>
              <w:bottom w:val="single" w:sz="4" w:space="0" w:color="auto"/>
              <w:right w:val="single" w:sz="4" w:space="0" w:color="auto"/>
            </w:tcBorders>
            <w:shd w:val="clear" w:color="auto" w:fill="auto"/>
            <w:noWrap/>
            <w:vAlign w:val="center"/>
            <w:hideMark/>
          </w:tcPr>
          <w:p w14:paraId="6DC50CC6"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43,75%</w:t>
            </w:r>
          </w:p>
        </w:tc>
      </w:tr>
      <w:tr w:rsidR="007C1A0E" w:rsidRPr="00FD7C12" w14:paraId="655EDAF9" w14:textId="77777777" w:rsidTr="00FB6704">
        <w:trPr>
          <w:trHeight w:val="300"/>
        </w:trPr>
        <w:tc>
          <w:tcPr>
            <w:tcW w:w="2772" w:type="dxa"/>
            <w:tcBorders>
              <w:top w:val="nil"/>
              <w:left w:val="single" w:sz="4" w:space="0" w:color="auto"/>
              <w:bottom w:val="single" w:sz="4" w:space="0" w:color="auto"/>
              <w:right w:val="single" w:sz="4" w:space="0" w:color="auto"/>
            </w:tcBorders>
            <w:shd w:val="clear" w:color="auto" w:fill="auto"/>
            <w:noWrap/>
            <w:vAlign w:val="center"/>
            <w:hideMark/>
          </w:tcPr>
          <w:p w14:paraId="69F25173"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TOTAL GERAL</w:t>
            </w:r>
          </w:p>
        </w:tc>
        <w:tc>
          <w:tcPr>
            <w:tcW w:w="541" w:type="dxa"/>
            <w:tcBorders>
              <w:top w:val="nil"/>
              <w:left w:val="nil"/>
              <w:bottom w:val="single" w:sz="4" w:space="0" w:color="auto"/>
              <w:right w:val="single" w:sz="4" w:space="0" w:color="auto"/>
            </w:tcBorders>
            <w:shd w:val="clear" w:color="auto" w:fill="auto"/>
            <w:noWrap/>
            <w:vAlign w:val="bottom"/>
            <w:hideMark/>
          </w:tcPr>
          <w:p w14:paraId="102B8624"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108</w:t>
            </w:r>
          </w:p>
        </w:tc>
        <w:tc>
          <w:tcPr>
            <w:tcW w:w="954" w:type="dxa"/>
            <w:tcBorders>
              <w:top w:val="nil"/>
              <w:left w:val="nil"/>
              <w:bottom w:val="single" w:sz="4" w:space="0" w:color="auto"/>
              <w:right w:val="single" w:sz="4" w:space="0" w:color="auto"/>
            </w:tcBorders>
            <w:shd w:val="clear" w:color="auto" w:fill="auto"/>
            <w:noWrap/>
            <w:vAlign w:val="bottom"/>
            <w:hideMark/>
          </w:tcPr>
          <w:p w14:paraId="70C5D2FD"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96,43%</w:t>
            </w:r>
          </w:p>
        </w:tc>
        <w:tc>
          <w:tcPr>
            <w:tcW w:w="401" w:type="dxa"/>
            <w:tcBorders>
              <w:top w:val="nil"/>
              <w:left w:val="nil"/>
              <w:bottom w:val="single" w:sz="4" w:space="0" w:color="auto"/>
              <w:right w:val="single" w:sz="4" w:space="0" w:color="auto"/>
            </w:tcBorders>
            <w:shd w:val="clear" w:color="auto" w:fill="auto"/>
            <w:noWrap/>
            <w:vAlign w:val="bottom"/>
            <w:hideMark/>
          </w:tcPr>
          <w:p w14:paraId="703C31C9"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4</w:t>
            </w:r>
          </w:p>
        </w:tc>
        <w:tc>
          <w:tcPr>
            <w:tcW w:w="1537" w:type="dxa"/>
            <w:tcBorders>
              <w:top w:val="nil"/>
              <w:left w:val="nil"/>
              <w:bottom w:val="single" w:sz="4" w:space="0" w:color="auto"/>
              <w:right w:val="single" w:sz="4" w:space="0" w:color="auto"/>
            </w:tcBorders>
            <w:shd w:val="clear" w:color="auto" w:fill="auto"/>
            <w:noWrap/>
            <w:vAlign w:val="center"/>
            <w:hideMark/>
          </w:tcPr>
          <w:p w14:paraId="504EF237"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3,57%</w:t>
            </w:r>
          </w:p>
        </w:tc>
        <w:tc>
          <w:tcPr>
            <w:tcW w:w="927" w:type="dxa"/>
            <w:tcBorders>
              <w:top w:val="nil"/>
              <w:left w:val="nil"/>
              <w:bottom w:val="single" w:sz="4" w:space="0" w:color="auto"/>
              <w:right w:val="single" w:sz="4" w:space="0" w:color="auto"/>
            </w:tcBorders>
            <w:shd w:val="clear" w:color="auto" w:fill="auto"/>
            <w:noWrap/>
            <w:vAlign w:val="center"/>
            <w:hideMark/>
          </w:tcPr>
          <w:p w14:paraId="7FAF0E1B"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112</w:t>
            </w:r>
          </w:p>
        </w:tc>
        <w:tc>
          <w:tcPr>
            <w:tcW w:w="1201" w:type="dxa"/>
            <w:tcBorders>
              <w:top w:val="nil"/>
              <w:left w:val="nil"/>
              <w:bottom w:val="single" w:sz="4" w:space="0" w:color="auto"/>
              <w:right w:val="single" w:sz="4" w:space="0" w:color="auto"/>
            </w:tcBorders>
            <w:shd w:val="clear" w:color="auto" w:fill="auto"/>
            <w:noWrap/>
            <w:vAlign w:val="center"/>
            <w:hideMark/>
          </w:tcPr>
          <w:p w14:paraId="79BD11C0" w14:textId="77777777" w:rsidR="007C1A0E" w:rsidRPr="00FB6704" w:rsidRDefault="007C1A0E" w:rsidP="00727D82">
            <w:pPr>
              <w:spacing w:after="0" w:line="240" w:lineRule="auto"/>
              <w:jc w:val="center"/>
              <w:rPr>
                <w:rFonts w:ascii="Arial" w:eastAsia="Times New Roman" w:hAnsi="Arial" w:cs="Arial"/>
                <w:color w:val="000000"/>
                <w:sz w:val="24"/>
                <w:szCs w:val="24"/>
                <w:lang w:eastAsia="pt-BR"/>
              </w:rPr>
            </w:pPr>
            <w:r w:rsidRPr="00FB6704">
              <w:rPr>
                <w:rFonts w:ascii="Arial" w:eastAsia="Times New Roman" w:hAnsi="Arial" w:cs="Arial"/>
                <w:color w:val="000000"/>
                <w:sz w:val="24"/>
                <w:szCs w:val="24"/>
                <w:lang w:eastAsia="pt-BR"/>
              </w:rPr>
              <w:t>100%</w:t>
            </w:r>
          </w:p>
        </w:tc>
      </w:tr>
    </w:tbl>
    <w:p w14:paraId="030375C7" w14:textId="77777777" w:rsidR="004F6EFD" w:rsidRDefault="00CD2292">
      <w:pPr>
        <w:spacing w:after="0" w:line="240" w:lineRule="auto"/>
        <w:ind w:firstLine="851"/>
        <w:rPr>
          <w:rFonts w:ascii="Arial" w:hAnsi="Arial" w:cs="Arial"/>
          <w:sz w:val="20"/>
          <w:szCs w:val="20"/>
        </w:rPr>
      </w:pPr>
      <w:r w:rsidRPr="00CD2292">
        <w:rPr>
          <w:rFonts w:ascii="Arial" w:hAnsi="Arial" w:cs="Arial"/>
          <w:sz w:val="20"/>
          <w:szCs w:val="20"/>
        </w:rPr>
        <w:t>Dados da Pesquisa (2020)</w:t>
      </w:r>
    </w:p>
    <w:p w14:paraId="36C9F550" w14:textId="77777777" w:rsidR="004323ED" w:rsidRDefault="004323ED" w:rsidP="00054FDA">
      <w:pPr>
        <w:pStyle w:val="Default"/>
        <w:spacing w:line="276" w:lineRule="auto"/>
        <w:jc w:val="both"/>
        <w:rPr>
          <w:rFonts w:ascii="Times New Roman" w:hAnsi="Times New Roman"/>
          <w:b/>
        </w:rPr>
      </w:pPr>
    </w:p>
    <w:p w14:paraId="7CD4C35F" w14:textId="77777777" w:rsidR="007C1A0E" w:rsidRPr="005841AC" w:rsidRDefault="00C90476" w:rsidP="00054FDA">
      <w:pPr>
        <w:pStyle w:val="Ttulo1"/>
        <w:spacing w:line="276" w:lineRule="auto"/>
      </w:pPr>
      <w:r>
        <w:t xml:space="preserve">4 DISCUSSÃO </w:t>
      </w:r>
    </w:p>
    <w:p w14:paraId="09580508" w14:textId="77777777" w:rsidR="004D5CCC" w:rsidRPr="00054FDA" w:rsidRDefault="004D5CCC" w:rsidP="00054FDA">
      <w:pPr>
        <w:pStyle w:val="Default"/>
        <w:spacing w:line="276" w:lineRule="auto"/>
        <w:ind w:firstLine="709"/>
        <w:jc w:val="both"/>
      </w:pPr>
    </w:p>
    <w:p w14:paraId="10C5BE94" w14:textId="77777777" w:rsidR="007C1A0E" w:rsidRDefault="007C1A0E" w:rsidP="00054FDA">
      <w:pPr>
        <w:pStyle w:val="Default"/>
        <w:spacing w:line="276" w:lineRule="auto"/>
        <w:ind w:firstLine="709"/>
        <w:jc w:val="both"/>
        <w:rPr>
          <w:vertAlign w:val="superscript"/>
        </w:rPr>
      </w:pPr>
      <w:r w:rsidRPr="005841AC">
        <w:t>Protocolos de exposição ocupacional à material biológico do Ministério da Saúde afirmam que o risco de infecção após exposição ocupacional ao VHB pode  chegar a até 30%. É uma probabilidade de elevada significância. Por outro lado, trata-se de uma enfermidade imunologicamente prevenível mediante vacinação, com alta taxa de sucesso.</w:t>
      </w:r>
      <w:r w:rsidRPr="005841AC">
        <w:rPr>
          <w:vertAlign w:val="superscript"/>
        </w:rPr>
        <w:t>9,10,11,26</w:t>
      </w:r>
    </w:p>
    <w:p w14:paraId="0D2CEFDD" w14:textId="2C53E3EA" w:rsidR="000949D4" w:rsidRPr="00565E86" w:rsidRDefault="000949D4" w:rsidP="001A22E4">
      <w:pPr>
        <w:spacing w:after="0" w:line="360" w:lineRule="auto"/>
        <w:ind w:firstLine="851"/>
        <w:jc w:val="both"/>
        <w:rPr>
          <w:sz w:val="20"/>
          <w:szCs w:val="20"/>
        </w:rPr>
      </w:pPr>
      <w:r w:rsidRPr="00054FDA">
        <w:rPr>
          <w:rFonts w:ascii="Arial" w:hAnsi="Arial" w:cs="Arial"/>
          <w:color w:val="000000"/>
          <w:sz w:val="24"/>
          <w:szCs w:val="24"/>
        </w:rPr>
        <w:t xml:space="preserve">Durante os contatos com os responsáveis pela instituição analisada para viabilização da pesquisa, percebeu-se que os critérios de indicação do reforço vacinal para titulações abaixo do preconizado não estavam claramente estabelecidos. Dessa forma, decidiu-se elaborar e sugerir um fluxograma de atendimento para sorologia </w:t>
      </w:r>
      <w:proofErr w:type="spellStart"/>
      <w:r w:rsidRPr="00054FDA">
        <w:rPr>
          <w:rFonts w:ascii="Arial" w:hAnsi="Arial" w:cs="Arial"/>
          <w:color w:val="000000"/>
          <w:sz w:val="24"/>
          <w:szCs w:val="24"/>
        </w:rPr>
        <w:t>Anti-HBs</w:t>
      </w:r>
      <w:proofErr w:type="spellEnd"/>
      <w:r w:rsidRPr="00054FDA">
        <w:rPr>
          <w:rFonts w:ascii="Arial" w:hAnsi="Arial" w:cs="Arial"/>
          <w:color w:val="000000"/>
          <w:sz w:val="24"/>
          <w:szCs w:val="24"/>
        </w:rPr>
        <w:t xml:space="preserve"> em profissionais de saúde</w:t>
      </w:r>
      <w:r w:rsidR="007C1A0E" w:rsidRPr="00054FDA">
        <w:rPr>
          <w:rFonts w:ascii="Arial" w:hAnsi="Arial" w:cs="Arial"/>
          <w:color w:val="000000"/>
          <w:sz w:val="24"/>
          <w:szCs w:val="24"/>
        </w:rPr>
        <w:t>.</w:t>
      </w:r>
    </w:p>
    <w:p w14:paraId="0FFA9853" w14:textId="3BEF7138" w:rsidR="004F6EFD" w:rsidRDefault="00054FDA">
      <w:pPr>
        <w:spacing w:after="0" w:line="240" w:lineRule="auto"/>
        <w:ind w:firstLine="851"/>
        <w:rPr>
          <w:rFonts w:ascii="Arial" w:hAnsi="Arial" w:cs="Arial"/>
          <w:sz w:val="20"/>
          <w:szCs w:val="20"/>
        </w:rPr>
      </w:pPr>
      <w:r>
        <w:rPr>
          <w:rFonts w:ascii="Arial" w:hAnsi="Arial" w:cs="Arial"/>
          <w:noProof/>
          <w:color w:val="000000"/>
          <w:sz w:val="24"/>
          <w:szCs w:val="24"/>
          <w:lang w:eastAsia="pt-BR"/>
        </w:rPr>
        <w:lastRenderedPageBreak/>
        <mc:AlternateContent>
          <mc:Choice Requires="wps">
            <w:drawing>
              <wp:anchor distT="0" distB="0" distL="114300" distR="114300" simplePos="0" relativeHeight="251654144" behindDoc="1" locked="0" layoutInCell="1" allowOverlap="1" wp14:anchorId="0074FFAF" wp14:editId="4B634F8B">
                <wp:simplePos x="0" y="0"/>
                <wp:positionH relativeFrom="column">
                  <wp:posOffset>-148590</wp:posOffset>
                </wp:positionH>
                <wp:positionV relativeFrom="paragraph">
                  <wp:posOffset>-124460</wp:posOffset>
                </wp:positionV>
                <wp:extent cx="5734050" cy="457200"/>
                <wp:effectExtent l="0" t="0" r="0" b="0"/>
                <wp:wrapTight wrapText="bothSides">
                  <wp:wrapPolygon edited="0">
                    <wp:start x="0" y="0"/>
                    <wp:lineTo x="0" y="20700"/>
                    <wp:lineTo x="21528" y="20700"/>
                    <wp:lineTo x="21528" y="0"/>
                    <wp:lineTo x="0" y="0"/>
                  </wp:wrapPolygon>
                </wp:wrapTight>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457200"/>
                        </a:xfrm>
                        <a:prstGeom prst="rect">
                          <a:avLst/>
                        </a:prstGeom>
                        <a:solidFill>
                          <a:prstClr val="white"/>
                        </a:solidFill>
                        <a:ln>
                          <a:noFill/>
                        </a:ln>
                      </wps:spPr>
                      <wps:txbx>
                        <w:txbxContent>
                          <w:p w14:paraId="7F511E45" w14:textId="29ED9ED7" w:rsidR="004F6EFD" w:rsidRPr="00FB6704" w:rsidRDefault="004F6EFD" w:rsidP="00FB6704">
                            <w:pPr>
                              <w:pStyle w:val="Legenda"/>
                              <w:rPr>
                                <w:rFonts w:ascii="Arial" w:hAnsi="Arial" w:cs="Arial"/>
                                <w:noProof/>
                                <w:color w:val="auto"/>
                                <w:sz w:val="24"/>
                                <w:szCs w:val="24"/>
                              </w:rPr>
                            </w:pPr>
                            <w:r w:rsidRPr="00FB6704">
                              <w:rPr>
                                <w:rFonts w:ascii="Arial" w:hAnsi="Arial" w:cs="Arial"/>
                                <w:color w:val="auto"/>
                                <w:sz w:val="24"/>
                                <w:szCs w:val="24"/>
                              </w:rPr>
                              <w:t xml:space="preserve">Figura </w:t>
                            </w:r>
                            <w:r w:rsidRPr="00FB6704">
                              <w:rPr>
                                <w:rFonts w:ascii="Arial" w:hAnsi="Arial" w:cs="Arial"/>
                                <w:color w:val="auto"/>
                                <w:sz w:val="24"/>
                                <w:szCs w:val="24"/>
                              </w:rPr>
                              <w:fldChar w:fldCharType="begin"/>
                            </w:r>
                            <w:r w:rsidRPr="00FB6704">
                              <w:rPr>
                                <w:rFonts w:ascii="Arial" w:hAnsi="Arial" w:cs="Arial"/>
                                <w:color w:val="auto"/>
                                <w:sz w:val="24"/>
                                <w:szCs w:val="24"/>
                              </w:rPr>
                              <w:instrText xml:space="preserve"> SEQ Figura \* ARABIC </w:instrText>
                            </w:r>
                            <w:r w:rsidRPr="00FB6704">
                              <w:rPr>
                                <w:rFonts w:ascii="Arial" w:hAnsi="Arial" w:cs="Arial"/>
                                <w:color w:val="auto"/>
                                <w:sz w:val="24"/>
                                <w:szCs w:val="24"/>
                              </w:rPr>
                              <w:fldChar w:fldCharType="separate"/>
                            </w:r>
                            <w:r w:rsidR="008842F5">
                              <w:rPr>
                                <w:rFonts w:ascii="Arial" w:hAnsi="Arial" w:cs="Arial"/>
                                <w:noProof/>
                                <w:color w:val="auto"/>
                                <w:sz w:val="24"/>
                                <w:szCs w:val="24"/>
                              </w:rPr>
                              <w:t>1</w:t>
                            </w:r>
                            <w:r w:rsidRPr="00FB6704">
                              <w:rPr>
                                <w:rFonts w:ascii="Arial" w:hAnsi="Arial" w:cs="Arial"/>
                                <w:color w:val="auto"/>
                                <w:sz w:val="24"/>
                                <w:szCs w:val="24"/>
                              </w:rPr>
                              <w:fldChar w:fldCharType="end"/>
                            </w:r>
                            <w:r w:rsidRPr="00FB6704">
                              <w:rPr>
                                <w:rFonts w:ascii="Arial" w:hAnsi="Arial" w:cs="Arial"/>
                                <w:color w:val="auto"/>
                                <w:sz w:val="24"/>
                                <w:szCs w:val="24"/>
                              </w:rPr>
                              <w:t xml:space="preserve"> - Fluxograma de atendimento para sorologia </w:t>
                            </w:r>
                            <w:proofErr w:type="spellStart"/>
                            <w:r w:rsidRPr="00FB6704">
                              <w:rPr>
                                <w:rFonts w:ascii="Arial" w:hAnsi="Arial" w:cs="Arial"/>
                                <w:color w:val="auto"/>
                                <w:sz w:val="24"/>
                                <w:szCs w:val="24"/>
                              </w:rPr>
                              <w:t>Anti-HBs</w:t>
                            </w:r>
                            <w:proofErr w:type="spellEnd"/>
                            <w:r w:rsidRPr="00FB6704">
                              <w:rPr>
                                <w:rFonts w:ascii="Arial" w:hAnsi="Arial" w:cs="Arial"/>
                                <w:color w:val="auto"/>
                                <w:sz w:val="24"/>
                                <w:szCs w:val="24"/>
                              </w:rPr>
                              <w:t xml:space="preserve"> em profissionais de saúde.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74FFAF" id="Caixa de Texto 5" o:spid="_x0000_s1031" type="#_x0000_t202" style="position:absolute;left:0;text-align:left;margin-left:-11.7pt;margin-top:-9.8pt;width:451.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" stroked="f">
                <v:textbox inset="0,0,0,0">
                  <w:txbxContent>
                    <w:p w14:paraId="7F511E45" w14:textId="29ED9ED7" w:rsidR="004F6EFD" w:rsidRPr="00FB6704" w:rsidRDefault="004F6EFD" w:rsidP="00FB6704">
                      <w:pPr>
                        <w:pStyle w:val="Legenda"/>
                        <w:rPr>
                          <w:rFonts w:ascii="Arial" w:hAnsi="Arial" w:cs="Arial"/>
                          <w:noProof/>
                          <w:color w:val="auto"/>
                          <w:sz w:val="24"/>
                          <w:szCs w:val="24"/>
                        </w:rPr>
                      </w:pPr>
                      <w:r w:rsidRPr="00FB6704">
                        <w:rPr>
                          <w:rFonts w:ascii="Arial" w:hAnsi="Arial" w:cs="Arial"/>
                          <w:color w:val="auto"/>
                          <w:sz w:val="24"/>
                          <w:szCs w:val="24"/>
                        </w:rPr>
                        <w:t xml:space="preserve">Figura </w:t>
                      </w:r>
                      <w:r w:rsidRPr="00FB6704">
                        <w:rPr>
                          <w:rFonts w:ascii="Arial" w:hAnsi="Arial" w:cs="Arial"/>
                          <w:color w:val="auto"/>
                          <w:sz w:val="24"/>
                          <w:szCs w:val="24"/>
                        </w:rPr>
                        <w:fldChar w:fldCharType="begin"/>
                      </w:r>
                      <w:r w:rsidRPr="00FB6704">
                        <w:rPr>
                          <w:rFonts w:ascii="Arial" w:hAnsi="Arial" w:cs="Arial"/>
                          <w:color w:val="auto"/>
                          <w:sz w:val="24"/>
                          <w:szCs w:val="24"/>
                        </w:rPr>
                        <w:instrText xml:space="preserve"> SEQ Figura \* ARABIC </w:instrText>
                      </w:r>
                      <w:r w:rsidRPr="00FB6704">
                        <w:rPr>
                          <w:rFonts w:ascii="Arial" w:hAnsi="Arial" w:cs="Arial"/>
                          <w:color w:val="auto"/>
                          <w:sz w:val="24"/>
                          <w:szCs w:val="24"/>
                        </w:rPr>
                        <w:fldChar w:fldCharType="separate"/>
                      </w:r>
                      <w:r w:rsidR="008842F5">
                        <w:rPr>
                          <w:rFonts w:ascii="Arial" w:hAnsi="Arial" w:cs="Arial"/>
                          <w:noProof/>
                          <w:color w:val="auto"/>
                          <w:sz w:val="24"/>
                          <w:szCs w:val="24"/>
                        </w:rPr>
                        <w:t>1</w:t>
                      </w:r>
                      <w:r w:rsidRPr="00FB6704">
                        <w:rPr>
                          <w:rFonts w:ascii="Arial" w:hAnsi="Arial" w:cs="Arial"/>
                          <w:color w:val="auto"/>
                          <w:sz w:val="24"/>
                          <w:szCs w:val="24"/>
                        </w:rPr>
                        <w:fldChar w:fldCharType="end"/>
                      </w:r>
                      <w:r w:rsidRPr="00FB6704">
                        <w:rPr>
                          <w:rFonts w:ascii="Arial" w:hAnsi="Arial" w:cs="Arial"/>
                          <w:color w:val="auto"/>
                          <w:sz w:val="24"/>
                          <w:szCs w:val="24"/>
                        </w:rPr>
                        <w:t xml:space="preserve"> - Fluxograma de atendimento para sorologia </w:t>
                      </w:r>
                      <w:proofErr w:type="spellStart"/>
                      <w:r w:rsidRPr="00FB6704">
                        <w:rPr>
                          <w:rFonts w:ascii="Arial" w:hAnsi="Arial" w:cs="Arial"/>
                          <w:color w:val="auto"/>
                          <w:sz w:val="24"/>
                          <w:szCs w:val="24"/>
                        </w:rPr>
                        <w:t>Anti-HBs</w:t>
                      </w:r>
                      <w:proofErr w:type="spellEnd"/>
                      <w:r w:rsidRPr="00FB6704">
                        <w:rPr>
                          <w:rFonts w:ascii="Arial" w:hAnsi="Arial" w:cs="Arial"/>
                          <w:color w:val="auto"/>
                          <w:sz w:val="24"/>
                          <w:szCs w:val="24"/>
                        </w:rPr>
                        <w:t xml:space="preserve"> em profissionais de saúde.</w:t>
                      </w:r>
                    </w:p>
                  </w:txbxContent>
                </v:textbox>
                <w10:wrap type="tight"/>
              </v:shape>
            </w:pict>
          </mc:Fallback>
        </mc:AlternateContent>
      </w:r>
      <w:r w:rsidRPr="001A22E4">
        <w:rPr>
          <w:rFonts w:ascii="Arial" w:hAnsi="Arial" w:cs="Arial"/>
          <w:noProof/>
          <w:color w:val="000000"/>
          <w:sz w:val="24"/>
          <w:szCs w:val="24"/>
          <w:lang w:eastAsia="pt-BR"/>
        </w:rPr>
        <w:drawing>
          <wp:anchor distT="0" distB="0" distL="114300" distR="114300" simplePos="0" relativeHeight="251655168" behindDoc="1" locked="0" layoutInCell="1" allowOverlap="1" wp14:anchorId="23818C9B" wp14:editId="36D5FB93">
            <wp:simplePos x="0" y="0"/>
            <wp:positionH relativeFrom="column">
              <wp:posOffset>-27940</wp:posOffset>
            </wp:positionH>
            <wp:positionV relativeFrom="paragraph">
              <wp:posOffset>284480</wp:posOffset>
            </wp:positionV>
            <wp:extent cx="5695950" cy="4257675"/>
            <wp:effectExtent l="0" t="0" r="0" b="0"/>
            <wp:wrapTight wrapText="bothSides">
              <wp:wrapPolygon edited="0">
                <wp:start x="0" y="0"/>
                <wp:lineTo x="0" y="21552"/>
                <wp:lineTo x="21528" y="21552"/>
                <wp:lineTo x="21528"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5950" cy="4257675"/>
                    </a:xfrm>
                    <a:prstGeom prst="rect">
                      <a:avLst/>
                    </a:prstGeom>
                    <a:noFill/>
                    <a:ln>
                      <a:noFill/>
                    </a:ln>
                  </pic:spPr>
                </pic:pic>
              </a:graphicData>
            </a:graphic>
          </wp:anchor>
        </w:drawing>
      </w:r>
      <w:r w:rsidR="00CD2292" w:rsidRPr="00CD2292">
        <w:rPr>
          <w:rFonts w:ascii="Arial" w:hAnsi="Arial" w:cs="Arial"/>
          <w:sz w:val="20"/>
          <w:szCs w:val="20"/>
        </w:rPr>
        <w:t>Fonte: Dados coletados (2020)</w:t>
      </w:r>
    </w:p>
    <w:p w14:paraId="1BB273FB" w14:textId="77777777" w:rsidR="000949D4" w:rsidRDefault="000949D4" w:rsidP="006E4C41">
      <w:pPr>
        <w:spacing w:after="0" w:line="240" w:lineRule="auto"/>
        <w:ind w:firstLine="851"/>
        <w:jc w:val="both"/>
        <w:rPr>
          <w:rFonts w:ascii="Arial" w:hAnsi="Arial" w:cs="Arial"/>
          <w:sz w:val="24"/>
          <w:szCs w:val="24"/>
        </w:rPr>
      </w:pPr>
    </w:p>
    <w:p w14:paraId="28183722" w14:textId="77777777" w:rsidR="007C1A0E" w:rsidRPr="00054FDA" w:rsidRDefault="004323ED" w:rsidP="004323ED">
      <w:pPr>
        <w:pStyle w:val="Default"/>
        <w:spacing w:line="360" w:lineRule="auto"/>
        <w:ind w:left="709"/>
        <w:jc w:val="both"/>
        <w:rPr>
          <w:i/>
          <w:sz w:val="20"/>
          <w:szCs w:val="18"/>
        </w:rPr>
      </w:pPr>
      <w:r w:rsidRPr="00054FDA">
        <w:rPr>
          <w:i/>
          <w:sz w:val="20"/>
          <w:szCs w:val="18"/>
        </w:rPr>
        <w:t xml:space="preserve">* </w:t>
      </w:r>
      <w:r w:rsidR="007C1A0E" w:rsidRPr="00054FDA">
        <w:rPr>
          <w:i/>
          <w:sz w:val="20"/>
          <w:szCs w:val="18"/>
        </w:rPr>
        <w:t>Dose reforço da vacina contra HB para induzir resposta anamnéstica do sistema imunológico contra o VHB.</w:t>
      </w:r>
    </w:p>
    <w:p w14:paraId="4407C9C0" w14:textId="77777777" w:rsidR="007C1A0E" w:rsidRPr="005841AC" w:rsidRDefault="004323ED" w:rsidP="004323ED">
      <w:pPr>
        <w:pStyle w:val="Default"/>
        <w:spacing w:line="360" w:lineRule="auto"/>
        <w:ind w:left="709"/>
        <w:jc w:val="both"/>
      </w:pPr>
      <w:r w:rsidRPr="00054FDA">
        <w:rPr>
          <w:i/>
          <w:sz w:val="20"/>
          <w:szCs w:val="18"/>
        </w:rPr>
        <w:t xml:space="preserve">** </w:t>
      </w:r>
      <w:r w:rsidR="007C1A0E" w:rsidRPr="00054FDA">
        <w:rPr>
          <w:i/>
          <w:sz w:val="20"/>
          <w:szCs w:val="18"/>
        </w:rPr>
        <w:t>Ainda poderá ser oferecida vacina “</w:t>
      </w:r>
      <w:proofErr w:type="spellStart"/>
      <w:r w:rsidR="007C1A0E" w:rsidRPr="00054FDA">
        <w:rPr>
          <w:i/>
          <w:sz w:val="20"/>
          <w:szCs w:val="18"/>
        </w:rPr>
        <w:t>hiperantigênica</w:t>
      </w:r>
      <w:proofErr w:type="spellEnd"/>
      <w:r w:rsidR="007C1A0E" w:rsidRPr="00054FDA">
        <w:rPr>
          <w:i/>
          <w:sz w:val="20"/>
          <w:szCs w:val="18"/>
        </w:rPr>
        <w:t xml:space="preserve">” antes de considerar o indivíduo </w:t>
      </w:r>
      <w:proofErr w:type="spellStart"/>
      <w:r w:rsidR="007C1A0E" w:rsidRPr="00054FDA">
        <w:rPr>
          <w:i/>
          <w:sz w:val="20"/>
          <w:szCs w:val="18"/>
        </w:rPr>
        <w:t>imunosusceptível</w:t>
      </w:r>
      <w:proofErr w:type="spellEnd"/>
      <w:r w:rsidR="007C1A0E" w:rsidRPr="00054FDA">
        <w:rPr>
          <w:i/>
          <w:sz w:val="20"/>
          <w:szCs w:val="18"/>
        </w:rPr>
        <w:t>. Não há nenhuma restrição obrigatória quanto às atividades laborais, para as pessoas que não responderam à vacinação para hepatite B. Entretanto, caso sofram acidente com material biológico, elas devem procurar o serviço médico de referência com a maior brevidade para avaliar a necessidade de profilaxia pós-exposição.</w:t>
      </w:r>
      <w:r w:rsidR="007C1A0E" w:rsidRPr="004323ED">
        <w:rPr>
          <w:i/>
          <w:sz w:val="22"/>
          <w:szCs w:val="18"/>
          <w:vertAlign w:val="superscript"/>
        </w:rPr>
        <w:t>26</w:t>
      </w:r>
    </w:p>
    <w:p w14:paraId="79D39FA4" w14:textId="77777777" w:rsidR="004323ED" w:rsidRDefault="004323ED" w:rsidP="00CD3247">
      <w:pPr>
        <w:pStyle w:val="Default"/>
        <w:spacing w:line="360" w:lineRule="auto"/>
        <w:ind w:firstLine="709"/>
        <w:jc w:val="both"/>
      </w:pPr>
    </w:p>
    <w:p w14:paraId="46A04F10" w14:textId="77777777" w:rsidR="007C1A0E" w:rsidRPr="005841AC" w:rsidRDefault="007C1A0E" w:rsidP="00CD3247">
      <w:pPr>
        <w:pStyle w:val="Default"/>
        <w:spacing w:line="360" w:lineRule="auto"/>
        <w:ind w:firstLine="709"/>
        <w:jc w:val="both"/>
      </w:pPr>
      <w:r w:rsidRPr="005841AC">
        <w:t xml:space="preserve">Identificou-se neste trabalho 18 casos em que o status de proteção contra o VHB do profissional exposto não pôde ser verificado, tendo em vista a ausência de registros de sorologia </w:t>
      </w:r>
      <w:proofErr w:type="spellStart"/>
      <w:r w:rsidRPr="005841AC">
        <w:t>Anti-HBs</w:t>
      </w:r>
      <w:proofErr w:type="spellEnd"/>
      <w:r w:rsidRPr="005841AC">
        <w:t xml:space="preserve"> destes profissionais nos controles da equipe local de SESMT.</w:t>
      </w:r>
    </w:p>
    <w:p w14:paraId="0F05F5A7" w14:textId="77777777" w:rsidR="007C1A0E" w:rsidRPr="005841AC" w:rsidRDefault="007C1A0E" w:rsidP="00CD3247">
      <w:pPr>
        <w:pStyle w:val="Default"/>
        <w:spacing w:line="360" w:lineRule="auto"/>
        <w:ind w:firstLine="709"/>
        <w:jc w:val="both"/>
      </w:pPr>
      <w:r w:rsidRPr="005841AC">
        <w:t>Foi observado um padrão levemente favorável ao sexo feminino no que diz respeito à soro conversão pós vacinal contra o VHB, bem como a manutenção da titulação em testes subsequentes. Dados semelhantes são relatados na literatura.</w:t>
      </w:r>
      <w:r w:rsidRPr="005841AC">
        <w:rPr>
          <w:vertAlign w:val="superscript"/>
        </w:rPr>
        <w:t>9,12,19,20,27,28</w:t>
      </w:r>
    </w:p>
    <w:p w14:paraId="72ADBD2A" w14:textId="77777777" w:rsidR="007C1A0E" w:rsidRPr="005841AC" w:rsidRDefault="007C1A0E" w:rsidP="00CD3247">
      <w:pPr>
        <w:pStyle w:val="Default"/>
        <w:spacing w:line="360" w:lineRule="auto"/>
        <w:ind w:firstLine="709"/>
        <w:jc w:val="both"/>
      </w:pPr>
      <w:r w:rsidRPr="005841AC">
        <w:lastRenderedPageBreak/>
        <w:t>A idade também foi identificada como fator influenciador da imunogenicidade vacinal contra HB. Apesar do grupo amostral do presente estudo representar uma ínfima parte dos profissionais expostos e vacinados contra o VHB, ainda assim foi possível demonstrar correlação estatística semelhante a outros trabalhos publicados, sugerindo índices de soro conversão pós vacinal ligeiramente menores com o avançar da idade.</w:t>
      </w:r>
      <w:r w:rsidRPr="005841AC">
        <w:rPr>
          <w:vertAlign w:val="superscript"/>
        </w:rPr>
        <w:t xml:space="preserve"> 12,29</w:t>
      </w:r>
    </w:p>
    <w:p w14:paraId="0E3EE8A0" w14:textId="77777777" w:rsidR="006642C4" w:rsidRDefault="006642C4">
      <w:pPr>
        <w:rPr>
          <w:rFonts w:ascii="Arial" w:eastAsia="Times New Roman" w:hAnsi="Arial" w:cs="Times New Roman"/>
          <w:b/>
          <w:bCs/>
          <w:kern w:val="36"/>
          <w:sz w:val="24"/>
          <w:szCs w:val="48"/>
          <w:lang w:eastAsia="pt-BR"/>
        </w:rPr>
      </w:pPr>
    </w:p>
    <w:p w14:paraId="1E6EF90D" w14:textId="77777777" w:rsidR="00AD0367" w:rsidRDefault="0085080D" w:rsidP="0085080D">
      <w:pPr>
        <w:pStyle w:val="Ttulo1"/>
      </w:pPr>
      <w:r>
        <w:t>5</w:t>
      </w:r>
      <w:r w:rsidR="00AD0367" w:rsidRPr="00444826">
        <w:t xml:space="preserve"> CONSIDERAÇÕES FINAIS</w:t>
      </w:r>
    </w:p>
    <w:p w14:paraId="225520AC" w14:textId="77777777" w:rsidR="00752CE5" w:rsidRDefault="00752CE5" w:rsidP="00CD3247">
      <w:pPr>
        <w:pStyle w:val="Default"/>
        <w:spacing w:line="360" w:lineRule="auto"/>
        <w:ind w:firstLine="709"/>
        <w:jc w:val="both"/>
        <w:rPr>
          <w:bCs/>
          <w:color w:val="auto"/>
        </w:rPr>
      </w:pPr>
    </w:p>
    <w:p w14:paraId="36D31BC2" w14:textId="77777777" w:rsidR="005841AC" w:rsidRPr="005841AC" w:rsidRDefault="005841AC" w:rsidP="00CD3247">
      <w:pPr>
        <w:pStyle w:val="Default"/>
        <w:spacing w:line="360" w:lineRule="auto"/>
        <w:ind w:firstLine="709"/>
        <w:jc w:val="both"/>
        <w:rPr>
          <w:color w:val="auto"/>
        </w:rPr>
      </w:pPr>
      <w:r w:rsidRPr="005841AC">
        <w:rPr>
          <w:bCs/>
          <w:color w:val="auto"/>
        </w:rPr>
        <w:t>Os dados obtidos no presente estudo não diferiram da bibliografia pesquisada e demonstraram o sexo e a idade como fatores influenciadores da imunogenicidade pós</w:t>
      </w:r>
      <w:r w:rsidR="00752CE5">
        <w:rPr>
          <w:bCs/>
          <w:color w:val="auto"/>
        </w:rPr>
        <w:t>-</w:t>
      </w:r>
      <w:r w:rsidRPr="005841AC">
        <w:rPr>
          <w:bCs/>
          <w:color w:val="auto"/>
        </w:rPr>
        <w:t xml:space="preserve">vacinal contra o VHB. Ainda assim, há a necessidade de </w:t>
      </w:r>
      <w:r w:rsidRPr="005841AC">
        <w:rPr>
          <w:color w:val="auto"/>
        </w:rPr>
        <w:t>mais trabalhos que relacionem a eficácia da vacina contra VHB a outros critérios, como tabagismo, obesidade, atividade sexual, diabetes mellitus, insuficiência renal, HIV. O grupo pesquisado representa também uma parcela muito pequena dos profissionais de saúde expostos ao risco biológico, não podendo ser considerado conclusivo para o tema.</w:t>
      </w:r>
    </w:p>
    <w:p w14:paraId="5BDCC0EF" w14:textId="77777777" w:rsidR="00AD0367" w:rsidRPr="00903697" w:rsidRDefault="00AD0367" w:rsidP="0085080D">
      <w:pPr>
        <w:spacing w:after="0" w:line="360" w:lineRule="auto"/>
        <w:jc w:val="center"/>
        <w:rPr>
          <w:rFonts w:ascii="Arial" w:hAnsi="Arial" w:cs="Arial"/>
          <w:b/>
          <w:sz w:val="24"/>
          <w:szCs w:val="24"/>
          <w:lang w:val="en-US"/>
        </w:rPr>
      </w:pPr>
      <w:r w:rsidRPr="00903697">
        <w:rPr>
          <w:rFonts w:ascii="Arial" w:hAnsi="Arial" w:cs="Arial"/>
          <w:b/>
          <w:sz w:val="24"/>
          <w:szCs w:val="24"/>
          <w:lang w:val="en-US"/>
        </w:rPr>
        <w:t>REFERÊNCIAS</w:t>
      </w:r>
    </w:p>
    <w:p w14:paraId="3EE27A66" w14:textId="77777777" w:rsidR="00FB0054" w:rsidRPr="00903697" w:rsidRDefault="00FB0054" w:rsidP="00874BDC">
      <w:pPr>
        <w:spacing w:after="0" w:line="360" w:lineRule="auto"/>
        <w:rPr>
          <w:rFonts w:ascii="Arial" w:hAnsi="Arial" w:cs="Arial"/>
          <w:b/>
          <w:color w:val="FF0000"/>
          <w:sz w:val="24"/>
          <w:szCs w:val="24"/>
          <w:lang w:val="en-US"/>
        </w:rPr>
      </w:pPr>
    </w:p>
    <w:p w14:paraId="117E7246" w14:textId="77777777" w:rsidR="00FB0054" w:rsidRPr="00903697" w:rsidRDefault="00FB0054">
      <w:pPr>
        <w:pStyle w:val="PargrafodaLista"/>
        <w:numPr>
          <w:ilvl w:val="0"/>
          <w:numId w:val="8"/>
        </w:numPr>
        <w:spacing w:after="200" w:line="240" w:lineRule="auto"/>
        <w:ind w:left="0"/>
        <w:jc w:val="both"/>
        <w:rPr>
          <w:rStyle w:val="A2"/>
          <w:rFonts w:ascii="Arial" w:hAnsi="Arial" w:cs="Arial"/>
          <w:color w:val="auto"/>
          <w:sz w:val="24"/>
          <w:szCs w:val="24"/>
        </w:rPr>
      </w:pPr>
      <w:r w:rsidRPr="00903697">
        <w:rPr>
          <w:rStyle w:val="A2"/>
          <w:rFonts w:ascii="Arial" w:hAnsi="Arial" w:cs="Arial"/>
          <w:color w:val="auto"/>
          <w:sz w:val="24"/>
          <w:szCs w:val="24"/>
        </w:rPr>
        <w:t xml:space="preserve">BRASIL. Secretária de Vigilância em Saúde. </w:t>
      </w:r>
      <w:r w:rsidR="00CD2292" w:rsidRPr="00CD2292">
        <w:rPr>
          <w:rStyle w:val="A2"/>
          <w:rFonts w:ascii="Arial" w:hAnsi="Arial" w:cs="Arial"/>
          <w:b/>
          <w:bCs/>
          <w:color w:val="auto"/>
          <w:sz w:val="24"/>
          <w:szCs w:val="24"/>
        </w:rPr>
        <w:t>Manual de aconselhamento em hepatites virais / Ministério da Saúde</w:t>
      </w:r>
      <w:r w:rsidRPr="00903697">
        <w:rPr>
          <w:rStyle w:val="A2"/>
          <w:rFonts w:ascii="Arial" w:hAnsi="Arial" w:cs="Arial"/>
          <w:color w:val="auto"/>
          <w:sz w:val="24"/>
          <w:szCs w:val="24"/>
        </w:rPr>
        <w:t>, Secretária de Vigilância em Saúde, Departamento de Vigilância Epidemiológica. Brasília: Ministério da Saúde, 2005</w:t>
      </w:r>
      <w:r w:rsidR="00884A2B" w:rsidRPr="00903697">
        <w:rPr>
          <w:rStyle w:val="A2"/>
          <w:rFonts w:ascii="Arial" w:hAnsi="Arial" w:cs="Arial"/>
          <w:color w:val="auto"/>
          <w:sz w:val="24"/>
          <w:szCs w:val="24"/>
        </w:rPr>
        <w:t xml:space="preserve"> 52 p </w:t>
      </w:r>
      <w:r w:rsidRPr="00903697">
        <w:rPr>
          <w:rStyle w:val="A2"/>
          <w:rFonts w:ascii="Arial" w:hAnsi="Arial" w:cs="Arial"/>
          <w:color w:val="auto"/>
          <w:sz w:val="24"/>
          <w:szCs w:val="24"/>
        </w:rPr>
        <w:t>.</w:t>
      </w:r>
      <w:r w:rsidR="004D744F" w:rsidRPr="00903697">
        <w:rPr>
          <w:rStyle w:val="A2"/>
          <w:rFonts w:ascii="Arial" w:hAnsi="Arial" w:cs="Arial"/>
          <w:color w:val="auto"/>
          <w:sz w:val="24"/>
          <w:szCs w:val="24"/>
        </w:rPr>
        <w:t>Disponívelemhttp://bvsms.saude.gov.br/bvs/publicacoes/hepatites_aconselhamento.pdf</w:t>
      </w:r>
      <w:r w:rsidRPr="00903697">
        <w:rPr>
          <w:rStyle w:val="A2"/>
          <w:rFonts w:ascii="Arial" w:hAnsi="Arial" w:cs="Arial"/>
          <w:color w:val="auto"/>
          <w:sz w:val="24"/>
          <w:szCs w:val="24"/>
        </w:rPr>
        <w:t xml:space="preserve">. </w:t>
      </w:r>
    </w:p>
    <w:p w14:paraId="3AF2AB64" w14:textId="77777777" w:rsidR="00FB0054" w:rsidRPr="00903697" w:rsidRDefault="00FB0054" w:rsidP="00FB0054">
      <w:pPr>
        <w:pStyle w:val="PargrafodaLista"/>
        <w:spacing w:after="200" w:line="240" w:lineRule="auto"/>
        <w:ind w:left="0"/>
        <w:jc w:val="both"/>
        <w:rPr>
          <w:rStyle w:val="A2"/>
          <w:rFonts w:ascii="Arial" w:hAnsi="Arial" w:cs="Arial"/>
          <w:color w:val="auto"/>
          <w:sz w:val="24"/>
          <w:szCs w:val="24"/>
        </w:rPr>
      </w:pPr>
    </w:p>
    <w:p w14:paraId="0AA5EB81" w14:textId="77777777" w:rsidR="00FB0054" w:rsidRPr="00903697" w:rsidRDefault="00CD2292" w:rsidP="00FB0054">
      <w:pPr>
        <w:pStyle w:val="PargrafodaLista"/>
        <w:numPr>
          <w:ilvl w:val="0"/>
          <w:numId w:val="8"/>
        </w:numPr>
        <w:spacing w:after="200" w:line="240" w:lineRule="auto"/>
        <w:ind w:left="0"/>
        <w:jc w:val="both"/>
        <w:rPr>
          <w:rStyle w:val="A2"/>
          <w:rFonts w:ascii="Arial" w:hAnsi="Arial" w:cs="Arial"/>
          <w:color w:val="auto"/>
          <w:sz w:val="24"/>
          <w:szCs w:val="24"/>
        </w:rPr>
      </w:pPr>
      <w:r w:rsidRPr="00CD2292">
        <w:rPr>
          <w:rFonts w:ascii="Arial" w:hAnsi="Arial" w:cs="Arial"/>
          <w:sz w:val="24"/>
          <w:szCs w:val="24"/>
        </w:rPr>
        <w:t>LOK, A.</w:t>
      </w:r>
      <w:r w:rsidR="00FB0054" w:rsidRPr="00903697">
        <w:rPr>
          <w:rFonts w:ascii="Arial" w:hAnsi="Arial" w:cs="Arial"/>
          <w:sz w:val="24"/>
          <w:szCs w:val="24"/>
        </w:rPr>
        <w:t xml:space="preserve">S.F. </w:t>
      </w:r>
      <w:r w:rsidRPr="00CD2292">
        <w:rPr>
          <w:rFonts w:ascii="Arial" w:hAnsi="Arial" w:cs="Arial"/>
          <w:b/>
          <w:bCs/>
          <w:sz w:val="24"/>
          <w:szCs w:val="24"/>
        </w:rPr>
        <w:t>Vírus da hepatite B</w:t>
      </w:r>
      <w:r w:rsidR="00FB0054" w:rsidRPr="00903697">
        <w:rPr>
          <w:rFonts w:ascii="Arial" w:hAnsi="Arial" w:cs="Arial"/>
          <w:sz w:val="24"/>
          <w:szCs w:val="24"/>
        </w:rPr>
        <w:t xml:space="preserve">: visão geral do manejo. Disponível em: </w:t>
      </w:r>
      <w:r w:rsidR="004D744F" w:rsidRPr="00903697">
        <w:rPr>
          <w:rFonts w:ascii="Arial" w:hAnsi="Arial" w:cs="Arial"/>
          <w:sz w:val="24"/>
          <w:szCs w:val="24"/>
        </w:rPr>
        <w:t>h</w:t>
      </w:r>
      <w:r w:rsidR="00FB0054" w:rsidRPr="00903697">
        <w:rPr>
          <w:rFonts w:ascii="Arial" w:hAnsi="Arial" w:cs="Arial"/>
          <w:sz w:val="24"/>
          <w:szCs w:val="24"/>
        </w:rPr>
        <w:t>ttps://www.uptodate.com/contents/hepatitis-b-virus-overview-of-management?search=Hepatie%20b&amp;source=search_result&amp;selectedTitle=1~150&amp;usage_type=default&amp;display_rank=1&gt;. Acesso em: 11 fev. 2020.</w:t>
      </w:r>
    </w:p>
    <w:p w14:paraId="1A4874FB" w14:textId="77777777" w:rsidR="005841AC" w:rsidRPr="00903697" w:rsidRDefault="005841AC" w:rsidP="005841AC">
      <w:pPr>
        <w:pStyle w:val="PargrafodaLista"/>
        <w:spacing w:line="240" w:lineRule="auto"/>
        <w:ind w:left="0"/>
        <w:jc w:val="both"/>
        <w:rPr>
          <w:rStyle w:val="A2"/>
          <w:rFonts w:ascii="Arial" w:hAnsi="Arial" w:cs="Arial"/>
          <w:b/>
          <w:bCs/>
          <w:color w:val="auto"/>
          <w:sz w:val="24"/>
          <w:szCs w:val="24"/>
        </w:rPr>
      </w:pPr>
    </w:p>
    <w:p w14:paraId="68BC6EBD" w14:textId="77777777" w:rsidR="00FB0054" w:rsidRPr="00903697" w:rsidRDefault="00FB0054" w:rsidP="00FB0054">
      <w:pPr>
        <w:pStyle w:val="PargrafodaLista"/>
        <w:numPr>
          <w:ilvl w:val="0"/>
          <w:numId w:val="8"/>
        </w:numPr>
        <w:spacing w:after="200" w:line="240" w:lineRule="auto"/>
        <w:ind w:left="0"/>
        <w:jc w:val="both"/>
        <w:rPr>
          <w:rFonts w:ascii="Arial" w:hAnsi="Arial" w:cs="Arial"/>
          <w:sz w:val="24"/>
          <w:szCs w:val="24"/>
        </w:rPr>
      </w:pPr>
      <w:r w:rsidRPr="00903697">
        <w:rPr>
          <w:rStyle w:val="A2"/>
          <w:rFonts w:ascii="Arial" w:hAnsi="Arial" w:cs="Arial"/>
          <w:color w:val="auto"/>
          <w:sz w:val="24"/>
          <w:szCs w:val="24"/>
        </w:rPr>
        <w:t>BRASIL</w:t>
      </w:r>
      <w:r w:rsidRPr="00903697">
        <w:rPr>
          <w:rFonts w:ascii="Arial" w:eastAsia="Times New Roman" w:hAnsi="Arial" w:cs="Arial"/>
          <w:sz w:val="24"/>
          <w:szCs w:val="24"/>
          <w:lang w:eastAsia="pt-BR"/>
        </w:rPr>
        <w:t>. Secretária de Vigilância em Saúde</w:t>
      </w:r>
      <w:r w:rsidR="00CD2292" w:rsidRPr="00CD2292">
        <w:rPr>
          <w:rFonts w:ascii="Arial" w:eastAsia="Times New Roman" w:hAnsi="Arial" w:cs="Arial"/>
          <w:b/>
          <w:bCs/>
          <w:sz w:val="24"/>
          <w:szCs w:val="24"/>
          <w:lang w:eastAsia="pt-BR"/>
        </w:rPr>
        <w:t>. Guia de vigilância epidemiológica / Ministério da Saúde</w:t>
      </w:r>
      <w:r w:rsidRPr="00903697">
        <w:rPr>
          <w:rFonts w:ascii="Arial" w:eastAsia="Times New Roman" w:hAnsi="Arial" w:cs="Arial"/>
          <w:sz w:val="24"/>
          <w:szCs w:val="24"/>
          <w:lang w:eastAsia="pt-BR"/>
        </w:rPr>
        <w:t>, Secretaria de Vigilância em Saúde. Brasília: Ministério da Saúde.</w:t>
      </w:r>
      <w:r w:rsidR="00884A2B" w:rsidRPr="00903697">
        <w:rPr>
          <w:rFonts w:ascii="Arial" w:eastAsia="Times New Roman" w:hAnsi="Arial" w:cs="Arial"/>
          <w:sz w:val="24"/>
          <w:szCs w:val="24"/>
          <w:lang w:eastAsia="pt-BR"/>
        </w:rPr>
        <w:t>pdf 816 p</w:t>
      </w:r>
      <w:r w:rsidRPr="00903697">
        <w:rPr>
          <w:rFonts w:ascii="Arial" w:eastAsia="Times New Roman" w:hAnsi="Arial" w:cs="Arial"/>
          <w:sz w:val="24"/>
          <w:szCs w:val="24"/>
          <w:lang w:eastAsia="pt-BR"/>
        </w:rPr>
        <w:t xml:space="preserve"> 2005.</w:t>
      </w:r>
      <w:r w:rsidR="004D744F" w:rsidRPr="00903697">
        <w:rPr>
          <w:rFonts w:ascii="Arial" w:eastAsia="Times New Roman" w:hAnsi="Arial" w:cs="Arial"/>
          <w:sz w:val="24"/>
          <w:szCs w:val="24"/>
          <w:lang w:eastAsia="pt-BR"/>
        </w:rPr>
        <w:t>Disponível emhttps://bvsms.saude.gov.br/bvs/publicacoes/Guia_Vig_Epid_novo2.</w:t>
      </w:r>
    </w:p>
    <w:p w14:paraId="1FF13349" w14:textId="77777777" w:rsidR="005841AC" w:rsidRPr="00903697" w:rsidRDefault="005841AC" w:rsidP="005841AC">
      <w:pPr>
        <w:pStyle w:val="PargrafodaLista"/>
        <w:spacing w:line="240" w:lineRule="auto"/>
        <w:ind w:left="0"/>
        <w:rPr>
          <w:rStyle w:val="A2"/>
          <w:rFonts w:ascii="Arial" w:hAnsi="Arial" w:cs="Arial"/>
          <w:color w:val="auto"/>
          <w:sz w:val="24"/>
          <w:szCs w:val="24"/>
        </w:rPr>
      </w:pPr>
    </w:p>
    <w:p w14:paraId="03493D35" w14:textId="77777777" w:rsidR="008C1506" w:rsidRPr="00A265C2" w:rsidRDefault="00CD2292" w:rsidP="008C1506">
      <w:pPr>
        <w:pStyle w:val="PargrafodaLista"/>
        <w:numPr>
          <w:ilvl w:val="0"/>
          <w:numId w:val="8"/>
        </w:numPr>
        <w:spacing w:after="200" w:line="240" w:lineRule="auto"/>
        <w:ind w:left="0"/>
        <w:jc w:val="both"/>
        <w:rPr>
          <w:rFonts w:ascii="Arial" w:hAnsi="Arial" w:cs="Arial"/>
          <w:sz w:val="24"/>
          <w:szCs w:val="24"/>
        </w:rPr>
      </w:pPr>
      <w:r w:rsidRPr="00CD2292">
        <w:rPr>
          <w:rFonts w:ascii="Arial" w:hAnsi="Arial" w:cs="Arial"/>
          <w:sz w:val="24"/>
          <w:szCs w:val="24"/>
          <w:shd w:val="clear" w:color="auto" w:fill="FFFFFF"/>
          <w:lang w:val="en-US"/>
        </w:rPr>
        <w:t>KUMAR, Manoj et al. Virologic and histologic features of chronic hepatitis B virus-infected asymptomatic patients with persistently normal ALT. </w:t>
      </w:r>
      <w:proofErr w:type="spellStart"/>
      <w:r w:rsidR="008C1506" w:rsidRPr="00903697">
        <w:rPr>
          <w:rFonts w:ascii="Arial" w:hAnsi="Arial" w:cs="Arial"/>
          <w:b/>
          <w:bCs/>
          <w:sz w:val="24"/>
          <w:szCs w:val="24"/>
          <w:shd w:val="clear" w:color="auto" w:fill="FFFFFF"/>
        </w:rPr>
        <w:t>Gastroenterology</w:t>
      </w:r>
      <w:proofErr w:type="spellEnd"/>
      <w:r w:rsidR="008C1506" w:rsidRPr="00903697">
        <w:rPr>
          <w:rFonts w:ascii="Arial" w:hAnsi="Arial" w:cs="Arial"/>
          <w:sz w:val="24"/>
          <w:szCs w:val="24"/>
          <w:shd w:val="clear" w:color="auto" w:fill="FFFFFF"/>
        </w:rPr>
        <w:t>, v. 134, n. 5, p. 1376-1384, 2008.</w:t>
      </w:r>
      <w:r w:rsidR="00086108" w:rsidRPr="00903697">
        <w:rPr>
          <w:rFonts w:ascii="Arial" w:hAnsi="Arial" w:cs="Arial"/>
          <w:sz w:val="24"/>
          <w:szCs w:val="24"/>
          <w:shd w:val="clear" w:color="auto" w:fill="FFFFFF"/>
        </w:rPr>
        <w:t xml:space="preserve"> Disponível em  https://www.sciencedirect.com/science/article/abs/pii/S0016508508003569</w:t>
      </w:r>
    </w:p>
    <w:p w14:paraId="2BBDCAE2" w14:textId="77777777" w:rsidR="005841AC" w:rsidRPr="00A265C2" w:rsidRDefault="005841AC" w:rsidP="005841AC">
      <w:pPr>
        <w:pStyle w:val="PargrafodaLista"/>
        <w:spacing w:line="240" w:lineRule="auto"/>
        <w:ind w:left="0"/>
        <w:jc w:val="both"/>
        <w:rPr>
          <w:rStyle w:val="A2"/>
          <w:rFonts w:ascii="Arial" w:hAnsi="Arial" w:cs="Arial"/>
          <w:color w:val="auto"/>
          <w:sz w:val="24"/>
          <w:szCs w:val="24"/>
        </w:rPr>
      </w:pPr>
    </w:p>
    <w:p w14:paraId="2B1D1586" w14:textId="77777777" w:rsidR="00086108" w:rsidRPr="00903697" w:rsidRDefault="00CD2292">
      <w:pPr>
        <w:pStyle w:val="PargrafodaLista"/>
        <w:numPr>
          <w:ilvl w:val="0"/>
          <w:numId w:val="8"/>
        </w:numPr>
        <w:spacing w:after="200" w:line="240" w:lineRule="auto"/>
        <w:ind w:left="0"/>
        <w:jc w:val="both"/>
        <w:rPr>
          <w:rFonts w:ascii="Arial" w:hAnsi="Arial" w:cs="Arial"/>
          <w:sz w:val="24"/>
          <w:szCs w:val="24"/>
        </w:rPr>
      </w:pPr>
      <w:r w:rsidRPr="00CD2292">
        <w:rPr>
          <w:rFonts w:ascii="Arial" w:hAnsi="Arial" w:cs="Arial"/>
          <w:sz w:val="24"/>
          <w:szCs w:val="24"/>
        </w:rPr>
        <w:lastRenderedPageBreak/>
        <w:t xml:space="preserve">KUMAR, V. ABBAS, A. K. ASTER, J. C. Robbins, </w:t>
      </w:r>
      <w:r w:rsidR="00752CE5" w:rsidRPr="00903697">
        <w:rPr>
          <w:rFonts w:ascii="Arial" w:hAnsi="Arial" w:cs="Arial"/>
          <w:b/>
          <w:bCs/>
          <w:sz w:val="24"/>
          <w:szCs w:val="24"/>
        </w:rPr>
        <w:t>Patologia Básica</w:t>
      </w:r>
      <w:r w:rsidR="005841AC" w:rsidRPr="00903697">
        <w:rPr>
          <w:rFonts w:ascii="Arial" w:hAnsi="Arial" w:cs="Arial"/>
          <w:sz w:val="24"/>
          <w:szCs w:val="24"/>
        </w:rPr>
        <w:t xml:space="preserve">. Trad. Claudia </w:t>
      </w:r>
      <w:proofErr w:type="spellStart"/>
      <w:r w:rsidR="005841AC" w:rsidRPr="00903697">
        <w:rPr>
          <w:rFonts w:ascii="Arial" w:hAnsi="Arial" w:cs="Arial"/>
          <w:sz w:val="24"/>
          <w:szCs w:val="24"/>
        </w:rPr>
        <w:t>Coana</w:t>
      </w:r>
      <w:proofErr w:type="spellEnd"/>
      <w:r w:rsidR="005841AC" w:rsidRPr="00903697">
        <w:rPr>
          <w:rFonts w:ascii="Arial" w:hAnsi="Arial" w:cs="Arial"/>
          <w:sz w:val="24"/>
          <w:szCs w:val="24"/>
        </w:rPr>
        <w:t xml:space="preserve"> et al. 9ª edição. Rio de Janeiro: Elsevier, 2013. 928 p. </w:t>
      </w:r>
    </w:p>
    <w:p w14:paraId="15CF82DC" w14:textId="77777777" w:rsidR="004F6EFD" w:rsidRDefault="004F6EFD">
      <w:pPr>
        <w:spacing w:after="200" w:line="240" w:lineRule="auto"/>
        <w:jc w:val="both"/>
        <w:rPr>
          <w:rFonts w:ascii="Arial" w:hAnsi="Arial" w:cs="Arial"/>
          <w:sz w:val="24"/>
          <w:szCs w:val="24"/>
        </w:rPr>
      </w:pPr>
    </w:p>
    <w:p w14:paraId="54DBE8D8" w14:textId="77777777" w:rsidR="008C1506" w:rsidRPr="00A265C2" w:rsidRDefault="00CD2292" w:rsidP="008C1506">
      <w:pPr>
        <w:pStyle w:val="PargrafodaLista"/>
        <w:numPr>
          <w:ilvl w:val="0"/>
          <w:numId w:val="8"/>
        </w:numPr>
        <w:spacing w:after="200" w:line="240" w:lineRule="auto"/>
        <w:ind w:left="0"/>
        <w:jc w:val="both"/>
        <w:rPr>
          <w:rFonts w:ascii="Arial" w:hAnsi="Arial" w:cs="Arial"/>
          <w:sz w:val="24"/>
          <w:szCs w:val="24"/>
        </w:rPr>
      </w:pPr>
      <w:r w:rsidRPr="00CD2292">
        <w:rPr>
          <w:rFonts w:ascii="Arial" w:hAnsi="Arial" w:cs="Arial"/>
          <w:sz w:val="24"/>
          <w:szCs w:val="24"/>
          <w:shd w:val="clear" w:color="auto" w:fill="FFFFFF"/>
          <w:lang w:val="en-US"/>
        </w:rPr>
        <w:t>CUSTER, Brian et al. Global epidemiology of hepatitis B virus. </w:t>
      </w:r>
      <w:proofErr w:type="spellStart"/>
      <w:r w:rsidR="008C1506" w:rsidRPr="002B5EA2">
        <w:rPr>
          <w:rFonts w:ascii="Arial" w:hAnsi="Arial" w:cs="Arial"/>
          <w:b/>
          <w:bCs/>
          <w:sz w:val="24"/>
          <w:szCs w:val="24"/>
          <w:shd w:val="clear" w:color="auto" w:fill="FFFFFF"/>
        </w:rPr>
        <w:t>Journalofclinicalgastroenterology</w:t>
      </w:r>
      <w:proofErr w:type="spellEnd"/>
      <w:r w:rsidR="008C1506" w:rsidRPr="00A265C2">
        <w:rPr>
          <w:rFonts w:ascii="Arial" w:hAnsi="Arial" w:cs="Arial"/>
          <w:sz w:val="24"/>
          <w:szCs w:val="24"/>
          <w:shd w:val="clear" w:color="auto" w:fill="FFFFFF"/>
        </w:rPr>
        <w:t>, v. 38, n. 10, p. S158-S168, 2004</w:t>
      </w:r>
      <w:r w:rsidR="008C1506" w:rsidRPr="002B5EA2">
        <w:rPr>
          <w:rFonts w:ascii="Arial" w:hAnsi="Arial" w:cs="Arial"/>
          <w:sz w:val="24"/>
          <w:szCs w:val="24"/>
          <w:shd w:val="clear" w:color="auto" w:fill="FFFFFF"/>
        </w:rPr>
        <w:t>.</w:t>
      </w:r>
      <w:r w:rsidRPr="00CD2292">
        <w:rPr>
          <w:rFonts w:ascii="Arial" w:hAnsi="Arial" w:cs="Arial"/>
          <w:sz w:val="24"/>
          <w:szCs w:val="24"/>
          <w:shd w:val="clear" w:color="auto" w:fill="FFFFFF"/>
        </w:rPr>
        <w:t>Disponível em https://journals.lww.com/jcge/Abstract/2004/11003/Global_Epidemiology_of_Hepatitis_B_Virus.8.aspx</w:t>
      </w:r>
    </w:p>
    <w:p w14:paraId="138085C8" w14:textId="77777777" w:rsidR="005841AC" w:rsidRPr="00A265C2" w:rsidRDefault="005841AC" w:rsidP="005841AC">
      <w:pPr>
        <w:pStyle w:val="PargrafodaLista"/>
        <w:spacing w:line="240" w:lineRule="auto"/>
        <w:ind w:left="0"/>
        <w:rPr>
          <w:rFonts w:ascii="Arial" w:hAnsi="Arial" w:cs="Arial"/>
          <w:sz w:val="24"/>
          <w:szCs w:val="24"/>
        </w:rPr>
      </w:pPr>
    </w:p>
    <w:p w14:paraId="4498FEEE" w14:textId="77777777" w:rsidR="008C1506" w:rsidRPr="00903697" w:rsidRDefault="00CD2292" w:rsidP="008C1506">
      <w:pPr>
        <w:pStyle w:val="PargrafodaLista"/>
        <w:numPr>
          <w:ilvl w:val="0"/>
          <w:numId w:val="8"/>
        </w:numPr>
        <w:spacing w:after="200" w:line="240" w:lineRule="auto"/>
        <w:ind w:left="0"/>
        <w:jc w:val="both"/>
        <w:rPr>
          <w:rFonts w:ascii="Arial" w:hAnsi="Arial" w:cs="Arial"/>
          <w:sz w:val="24"/>
          <w:szCs w:val="24"/>
          <w:lang w:val="en-US"/>
        </w:rPr>
      </w:pPr>
      <w:r w:rsidRPr="00CD2292">
        <w:rPr>
          <w:rFonts w:ascii="Arial" w:hAnsi="Arial" w:cs="Arial"/>
          <w:sz w:val="24"/>
          <w:szCs w:val="24"/>
          <w:shd w:val="clear" w:color="auto" w:fill="FFFFFF"/>
          <w:lang w:val="en-US"/>
        </w:rPr>
        <w:t xml:space="preserve">KOHN, William G. et al. </w:t>
      </w:r>
      <w:r w:rsidRPr="00CD2292">
        <w:rPr>
          <w:rFonts w:ascii="Arial" w:hAnsi="Arial" w:cs="Arial"/>
          <w:b/>
          <w:bCs/>
          <w:sz w:val="24"/>
          <w:szCs w:val="24"/>
          <w:shd w:val="clear" w:color="auto" w:fill="FFFFFF"/>
          <w:lang w:val="en-US"/>
        </w:rPr>
        <w:t>Guidelines for infection control in dental health-care settings</w:t>
      </w:r>
      <w:r w:rsidRPr="00CD2292">
        <w:rPr>
          <w:rFonts w:ascii="Arial" w:hAnsi="Arial" w:cs="Arial"/>
          <w:sz w:val="24"/>
          <w:szCs w:val="24"/>
          <w:shd w:val="clear" w:color="auto" w:fill="FFFFFF"/>
          <w:lang w:val="en-US"/>
        </w:rPr>
        <w:t>-</w:t>
      </w:r>
      <w:r w:rsidR="00001C89" w:rsidRPr="00903697">
        <w:rPr>
          <w:rFonts w:ascii="Arial" w:hAnsi="Arial" w:cs="Arial"/>
          <w:sz w:val="24"/>
          <w:szCs w:val="24"/>
          <w:shd w:val="clear" w:color="auto" w:fill="FFFFFF"/>
          <w:lang w:val="en-US"/>
        </w:rPr>
        <w:t xml:space="preserve"> v 52 n. 17-76 </w:t>
      </w:r>
      <w:r w:rsidRPr="00CD2292">
        <w:rPr>
          <w:rFonts w:ascii="Arial" w:hAnsi="Arial" w:cs="Arial"/>
          <w:sz w:val="24"/>
          <w:szCs w:val="24"/>
          <w:shd w:val="clear" w:color="auto" w:fill="FFFFFF"/>
          <w:lang w:val="en-US"/>
        </w:rPr>
        <w:t xml:space="preserve">2003. </w:t>
      </w:r>
      <w:proofErr w:type="spellStart"/>
      <w:r w:rsidR="00001C89" w:rsidRPr="00903697">
        <w:rPr>
          <w:rFonts w:ascii="Arial" w:hAnsi="Arial" w:cs="Arial"/>
          <w:sz w:val="24"/>
          <w:szCs w:val="24"/>
          <w:shd w:val="clear" w:color="auto" w:fill="FFFFFF"/>
          <w:lang w:val="en-US"/>
        </w:rPr>
        <w:t>Disponívelem</w:t>
      </w:r>
      <w:proofErr w:type="spellEnd"/>
      <w:r w:rsidR="00001C89" w:rsidRPr="00903697">
        <w:rPr>
          <w:rFonts w:ascii="Arial" w:hAnsi="Arial" w:cs="Arial"/>
          <w:sz w:val="24"/>
          <w:szCs w:val="24"/>
          <w:shd w:val="clear" w:color="auto" w:fill="FFFFFF"/>
          <w:lang w:val="en-US"/>
        </w:rPr>
        <w:t xml:space="preserve"> https://stacks.cdc.gov/view/cdc/6743</w:t>
      </w:r>
    </w:p>
    <w:p w14:paraId="3C78CFEC" w14:textId="77777777" w:rsidR="005841AC" w:rsidRPr="00903697" w:rsidRDefault="005841AC" w:rsidP="005841AC">
      <w:pPr>
        <w:pStyle w:val="PargrafodaLista"/>
        <w:spacing w:line="240" w:lineRule="auto"/>
        <w:ind w:left="0"/>
        <w:rPr>
          <w:rFonts w:ascii="Arial" w:hAnsi="Arial" w:cs="Arial"/>
          <w:sz w:val="24"/>
          <w:szCs w:val="24"/>
          <w:lang w:val="en-US"/>
        </w:rPr>
      </w:pPr>
    </w:p>
    <w:p w14:paraId="01CD53F3" w14:textId="77777777" w:rsidR="005707FF" w:rsidRPr="00903697" w:rsidRDefault="005707FF" w:rsidP="005707FF">
      <w:pPr>
        <w:pStyle w:val="PargrafodaLista"/>
        <w:numPr>
          <w:ilvl w:val="0"/>
          <w:numId w:val="8"/>
        </w:numPr>
        <w:spacing w:after="200" w:line="240" w:lineRule="auto"/>
        <w:ind w:left="0"/>
        <w:jc w:val="both"/>
        <w:rPr>
          <w:rFonts w:ascii="Arial" w:hAnsi="Arial" w:cs="Arial"/>
          <w:sz w:val="24"/>
          <w:szCs w:val="24"/>
        </w:rPr>
      </w:pPr>
      <w:r w:rsidRPr="00903697">
        <w:rPr>
          <w:rFonts w:ascii="Arial" w:hAnsi="Arial" w:cs="Arial"/>
          <w:sz w:val="24"/>
          <w:szCs w:val="24"/>
          <w:shd w:val="clear" w:color="auto" w:fill="FFFFFF"/>
        </w:rPr>
        <w:t xml:space="preserve">BRAGA, Adriana. </w:t>
      </w:r>
      <w:proofErr w:type="spellStart"/>
      <w:r w:rsidRPr="00903697">
        <w:rPr>
          <w:rFonts w:ascii="Arial" w:hAnsi="Arial" w:cs="Arial"/>
          <w:sz w:val="24"/>
          <w:szCs w:val="24"/>
          <w:shd w:val="clear" w:color="auto" w:fill="FFFFFF"/>
        </w:rPr>
        <w:t>Soroprevalência</w:t>
      </w:r>
      <w:proofErr w:type="spellEnd"/>
      <w:r w:rsidRPr="00903697">
        <w:rPr>
          <w:rFonts w:ascii="Arial" w:hAnsi="Arial" w:cs="Arial"/>
          <w:sz w:val="24"/>
          <w:szCs w:val="24"/>
          <w:shd w:val="clear" w:color="auto" w:fill="FFFFFF"/>
        </w:rPr>
        <w:t xml:space="preserve"> de infecção pelo vírus da hepatite B e resposta de anticorpos </w:t>
      </w:r>
      <w:proofErr w:type="spellStart"/>
      <w:r w:rsidRPr="00903697">
        <w:rPr>
          <w:rFonts w:ascii="Arial" w:hAnsi="Arial" w:cs="Arial"/>
          <w:sz w:val="24"/>
          <w:szCs w:val="24"/>
          <w:shd w:val="clear" w:color="auto" w:fill="FFFFFF"/>
        </w:rPr>
        <w:t>anti-hbs</w:t>
      </w:r>
      <w:proofErr w:type="spellEnd"/>
      <w:r w:rsidRPr="00903697">
        <w:rPr>
          <w:rFonts w:ascii="Arial" w:hAnsi="Arial" w:cs="Arial"/>
          <w:sz w:val="24"/>
          <w:szCs w:val="24"/>
          <w:shd w:val="clear" w:color="auto" w:fill="FFFFFF"/>
        </w:rPr>
        <w:t xml:space="preserve"> a vacinação em cirurgiões dentistas da Grande Salvador-Bahia. </w:t>
      </w:r>
      <w:r w:rsidRPr="00903697">
        <w:rPr>
          <w:rFonts w:ascii="Arial" w:hAnsi="Arial" w:cs="Arial"/>
          <w:b/>
          <w:bCs/>
          <w:sz w:val="24"/>
          <w:szCs w:val="24"/>
          <w:shd w:val="clear" w:color="auto" w:fill="FFFFFF"/>
        </w:rPr>
        <w:t>Revista Baiana de Saúde Pública</w:t>
      </w:r>
      <w:r w:rsidRPr="00903697">
        <w:rPr>
          <w:rFonts w:ascii="Arial" w:hAnsi="Arial" w:cs="Arial"/>
          <w:sz w:val="24"/>
          <w:szCs w:val="24"/>
          <w:shd w:val="clear" w:color="auto" w:fill="FFFFFF"/>
        </w:rPr>
        <w:t>, v. 32, n. 1, p. 7-7, 2008.</w:t>
      </w:r>
      <w:r w:rsidR="00001C89" w:rsidRPr="00903697">
        <w:rPr>
          <w:rFonts w:ascii="Arial" w:hAnsi="Arial" w:cs="Arial"/>
          <w:sz w:val="24"/>
          <w:szCs w:val="24"/>
          <w:shd w:val="clear" w:color="auto" w:fill="FFFFFF"/>
        </w:rPr>
        <w:t>Disponível em http://rbsp.sesab.ba.gov.br/index.php/rbsp/article/view/1377</w:t>
      </w:r>
    </w:p>
    <w:p w14:paraId="3D1A4222" w14:textId="77777777" w:rsidR="005707FF" w:rsidRPr="00903697" w:rsidRDefault="005707FF" w:rsidP="005707FF">
      <w:pPr>
        <w:pStyle w:val="PargrafodaLista"/>
        <w:spacing w:after="200" w:line="240" w:lineRule="auto"/>
        <w:ind w:left="0"/>
        <w:jc w:val="both"/>
        <w:rPr>
          <w:rFonts w:ascii="Arial" w:hAnsi="Arial" w:cs="Arial"/>
          <w:sz w:val="24"/>
          <w:szCs w:val="24"/>
        </w:rPr>
      </w:pPr>
    </w:p>
    <w:p w14:paraId="3367D651" w14:textId="77777777" w:rsidR="00001C89" w:rsidRPr="00903697" w:rsidRDefault="005707FF" w:rsidP="005707FF">
      <w:pPr>
        <w:pStyle w:val="PargrafodaLista"/>
        <w:numPr>
          <w:ilvl w:val="0"/>
          <w:numId w:val="8"/>
        </w:numPr>
        <w:spacing w:after="200" w:line="240" w:lineRule="auto"/>
        <w:ind w:left="0"/>
        <w:jc w:val="both"/>
        <w:rPr>
          <w:rFonts w:ascii="Arial" w:hAnsi="Arial" w:cs="Arial"/>
          <w:sz w:val="24"/>
          <w:szCs w:val="24"/>
        </w:rPr>
      </w:pPr>
      <w:r w:rsidRPr="00903697">
        <w:rPr>
          <w:rFonts w:ascii="Arial" w:hAnsi="Arial" w:cs="Arial"/>
          <w:sz w:val="24"/>
          <w:szCs w:val="24"/>
          <w:shd w:val="clear" w:color="auto" w:fill="FFFFFF"/>
        </w:rPr>
        <w:t>OSTI, Cristina; MARCONDES-MACHADO, Jussara. Vírus da hepatite B: avaliação da resposta sorológica à vacina em funcionários de limpeza de hospital-escola. </w:t>
      </w:r>
      <w:r w:rsidRPr="00903697">
        <w:rPr>
          <w:rFonts w:ascii="Arial" w:hAnsi="Arial" w:cs="Arial"/>
          <w:b/>
          <w:bCs/>
          <w:sz w:val="24"/>
          <w:szCs w:val="24"/>
          <w:shd w:val="clear" w:color="auto" w:fill="FFFFFF"/>
        </w:rPr>
        <w:t>Ciência &amp; Saúde Coletiva</w:t>
      </w:r>
      <w:r w:rsidRPr="00903697">
        <w:rPr>
          <w:rFonts w:ascii="Arial" w:hAnsi="Arial" w:cs="Arial"/>
          <w:sz w:val="24"/>
          <w:szCs w:val="24"/>
          <w:shd w:val="clear" w:color="auto" w:fill="FFFFFF"/>
        </w:rPr>
        <w:t>, v. 15, p. 1343-1348, 2010.</w:t>
      </w:r>
      <w:r w:rsidR="00001C89" w:rsidRPr="00903697">
        <w:rPr>
          <w:rFonts w:ascii="Arial" w:hAnsi="Arial" w:cs="Arial"/>
          <w:sz w:val="24"/>
          <w:szCs w:val="24"/>
        </w:rPr>
        <w:t xml:space="preserve">Disponível em </w:t>
      </w:r>
      <w:r w:rsidR="00CD2292" w:rsidRPr="00CD2292">
        <w:t>https://www.scielosp.org/article/csc/2010.v15suppl1/1343-1348/pt/</w:t>
      </w:r>
    </w:p>
    <w:p w14:paraId="3195A23D" w14:textId="77777777" w:rsidR="005707FF" w:rsidRPr="00903697" w:rsidRDefault="005707FF">
      <w:pPr>
        <w:pStyle w:val="PargrafodaLista"/>
        <w:spacing w:after="200" w:line="240" w:lineRule="auto"/>
        <w:ind w:left="0"/>
        <w:jc w:val="both"/>
        <w:rPr>
          <w:rFonts w:ascii="Arial" w:hAnsi="Arial" w:cs="Arial"/>
          <w:sz w:val="24"/>
          <w:szCs w:val="24"/>
        </w:rPr>
      </w:pPr>
    </w:p>
    <w:p w14:paraId="547DDC92" w14:textId="77777777" w:rsidR="005707FF" w:rsidRPr="00903697" w:rsidRDefault="00CD2292" w:rsidP="005707FF">
      <w:pPr>
        <w:pStyle w:val="PargrafodaLista"/>
        <w:numPr>
          <w:ilvl w:val="0"/>
          <w:numId w:val="8"/>
        </w:numPr>
        <w:spacing w:after="200" w:line="240" w:lineRule="auto"/>
        <w:ind w:left="0"/>
        <w:jc w:val="both"/>
        <w:rPr>
          <w:rFonts w:ascii="Arial" w:hAnsi="Arial" w:cs="Arial"/>
          <w:sz w:val="24"/>
          <w:szCs w:val="24"/>
          <w:lang w:val="en-US"/>
        </w:rPr>
      </w:pPr>
      <w:r w:rsidRPr="00CD2292">
        <w:rPr>
          <w:rFonts w:ascii="Arial" w:hAnsi="Arial" w:cs="Arial"/>
          <w:sz w:val="24"/>
          <w:szCs w:val="24"/>
          <w:shd w:val="clear" w:color="auto" w:fill="FFFFFF"/>
          <w:lang w:val="en-US"/>
        </w:rPr>
        <w:t>CLEMENTS, Mary Lou et al. Effect of age on the immunogenicity of yeast recombinant hepatitis B vaccines containing surface antigen (S) or PreS2+ S antigens. </w:t>
      </w:r>
      <w:r w:rsidRPr="00CD2292">
        <w:rPr>
          <w:rFonts w:ascii="Arial" w:hAnsi="Arial" w:cs="Arial"/>
          <w:b/>
          <w:bCs/>
          <w:sz w:val="24"/>
          <w:szCs w:val="24"/>
          <w:shd w:val="clear" w:color="auto" w:fill="FFFFFF"/>
          <w:lang w:val="en-US"/>
        </w:rPr>
        <w:t>Journal of Infectious Diseases</w:t>
      </w:r>
      <w:r w:rsidRPr="00CD2292">
        <w:rPr>
          <w:rFonts w:ascii="Arial" w:hAnsi="Arial" w:cs="Arial"/>
          <w:sz w:val="24"/>
          <w:szCs w:val="24"/>
          <w:shd w:val="clear" w:color="auto" w:fill="FFFFFF"/>
          <w:lang w:val="en-US"/>
        </w:rPr>
        <w:t>, v. 170, n. 3, p. 510-516, 1994.</w:t>
      </w:r>
      <w:r w:rsidR="00001C89" w:rsidRPr="00903697">
        <w:rPr>
          <w:rFonts w:ascii="Arial" w:hAnsi="Arial" w:cs="Arial"/>
          <w:sz w:val="24"/>
          <w:szCs w:val="24"/>
          <w:shd w:val="clear" w:color="auto" w:fill="FFFFFF"/>
          <w:lang w:val="en-US"/>
        </w:rPr>
        <w:t>Dispon</w:t>
      </w:r>
      <w:r w:rsidR="00502980" w:rsidRPr="00903697">
        <w:rPr>
          <w:rFonts w:ascii="Arial" w:hAnsi="Arial" w:cs="Arial"/>
          <w:sz w:val="24"/>
          <w:szCs w:val="24"/>
          <w:shd w:val="clear" w:color="auto" w:fill="FFFFFF"/>
          <w:lang w:val="en-US"/>
        </w:rPr>
        <w:t>ívelem https://academic.oup.com/jid/article-abstract/170/3/510/945918.</w:t>
      </w:r>
    </w:p>
    <w:p w14:paraId="7B83A1C8" w14:textId="77777777" w:rsidR="005707FF" w:rsidRPr="00903697" w:rsidRDefault="005707FF" w:rsidP="005707FF">
      <w:pPr>
        <w:pStyle w:val="PargrafodaLista"/>
        <w:rPr>
          <w:rFonts w:ascii="Arial" w:hAnsi="Arial" w:cs="Arial"/>
          <w:sz w:val="24"/>
          <w:szCs w:val="24"/>
          <w:lang w:val="en-US"/>
        </w:rPr>
      </w:pPr>
    </w:p>
    <w:p w14:paraId="03E26035" w14:textId="77777777" w:rsidR="005707FF" w:rsidRPr="00903697" w:rsidRDefault="005707FF" w:rsidP="005707FF">
      <w:pPr>
        <w:pStyle w:val="PargrafodaLista"/>
        <w:spacing w:after="200" w:line="240" w:lineRule="auto"/>
        <w:ind w:left="0"/>
        <w:jc w:val="both"/>
        <w:rPr>
          <w:rFonts w:ascii="Arial" w:hAnsi="Arial" w:cs="Arial"/>
          <w:sz w:val="24"/>
          <w:szCs w:val="24"/>
          <w:lang w:val="en-US"/>
        </w:rPr>
      </w:pPr>
    </w:p>
    <w:p w14:paraId="1E91901F" w14:textId="77777777" w:rsidR="005707FF" w:rsidRPr="00A265C2" w:rsidRDefault="00CD2292" w:rsidP="005841AC">
      <w:pPr>
        <w:pStyle w:val="PargrafodaLista"/>
        <w:numPr>
          <w:ilvl w:val="0"/>
          <w:numId w:val="8"/>
        </w:numPr>
        <w:spacing w:after="200" w:line="240" w:lineRule="auto"/>
        <w:ind w:left="0"/>
        <w:jc w:val="both"/>
        <w:rPr>
          <w:rFonts w:ascii="Arial" w:hAnsi="Arial" w:cs="Arial"/>
          <w:sz w:val="24"/>
          <w:szCs w:val="24"/>
        </w:rPr>
      </w:pPr>
      <w:r w:rsidRPr="00CD2292">
        <w:rPr>
          <w:rFonts w:ascii="Arial" w:hAnsi="Arial" w:cs="Arial"/>
          <w:sz w:val="24"/>
          <w:szCs w:val="24"/>
          <w:shd w:val="clear" w:color="auto" w:fill="FFFFFF"/>
          <w:lang w:val="en-US"/>
        </w:rPr>
        <w:t>ANDRE, F. E. Overview of a 5-year clinical experience with a yeast-derived hepatitis B vaccine. </w:t>
      </w:r>
      <w:proofErr w:type="spellStart"/>
      <w:r w:rsidR="005707FF" w:rsidRPr="00903697">
        <w:rPr>
          <w:rFonts w:ascii="Arial" w:hAnsi="Arial" w:cs="Arial"/>
          <w:b/>
          <w:bCs/>
          <w:sz w:val="24"/>
          <w:szCs w:val="24"/>
          <w:shd w:val="clear" w:color="auto" w:fill="FFFFFF"/>
        </w:rPr>
        <w:t>Vaccine</w:t>
      </w:r>
      <w:proofErr w:type="spellEnd"/>
      <w:r w:rsidR="005707FF" w:rsidRPr="00903697">
        <w:rPr>
          <w:rFonts w:ascii="Arial" w:hAnsi="Arial" w:cs="Arial"/>
          <w:sz w:val="24"/>
          <w:szCs w:val="24"/>
          <w:shd w:val="clear" w:color="auto" w:fill="FFFFFF"/>
        </w:rPr>
        <w:t>, v. 8, p. S74-S78, 1990</w:t>
      </w:r>
      <w:r w:rsidR="00502980" w:rsidRPr="00903697">
        <w:rPr>
          <w:rFonts w:ascii="Arial" w:hAnsi="Arial" w:cs="Arial"/>
          <w:sz w:val="24"/>
          <w:szCs w:val="24"/>
          <w:shd w:val="clear" w:color="auto" w:fill="FFFFFF"/>
        </w:rPr>
        <w:t>.Disponível em https://www.sciencedirect.com/science/article/pii/0264410X90902228</w:t>
      </w:r>
    </w:p>
    <w:p w14:paraId="5152B7F2" w14:textId="77777777" w:rsidR="005707FF" w:rsidRPr="00A265C2" w:rsidRDefault="005707FF" w:rsidP="005707FF">
      <w:pPr>
        <w:rPr>
          <w:rFonts w:ascii="Arial" w:hAnsi="Arial" w:cs="Arial"/>
          <w:sz w:val="24"/>
          <w:szCs w:val="24"/>
        </w:rPr>
      </w:pPr>
    </w:p>
    <w:p w14:paraId="6D67B214" w14:textId="77777777" w:rsidR="005707FF" w:rsidRPr="00886538" w:rsidRDefault="00CD2292" w:rsidP="005707FF">
      <w:pPr>
        <w:pStyle w:val="PargrafodaLista"/>
        <w:numPr>
          <w:ilvl w:val="0"/>
          <w:numId w:val="8"/>
        </w:numPr>
        <w:spacing w:after="200" w:line="240" w:lineRule="auto"/>
        <w:ind w:left="0"/>
        <w:jc w:val="both"/>
        <w:rPr>
          <w:rFonts w:ascii="Arial" w:hAnsi="Arial" w:cs="Arial"/>
          <w:sz w:val="24"/>
          <w:szCs w:val="24"/>
          <w:lang w:val="en-US"/>
        </w:rPr>
      </w:pPr>
      <w:r w:rsidRPr="00CD2292">
        <w:rPr>
          <w:rFonts w:ascii="Arial" w:hAnsi="Arial" w:cs="Arial"/>
          <w:sz w:val="24"/>
          <w:szCs w:val="24"/>
          <w:shd w:val="clear" w:color="auto" w:fill="FFFFFF"/>
          <w:lang w:val="en-US"/>
        </w:rPr>
        <w:t>HOLLINGER, F. Blaine. Factors influencing the immune response to hepatitis B vaccine, booster dose guidelines, and vaccine protocol recommendations. </w:t>
      </w:r>
      <w:r w:rsidRPr="00CD2292">
        <w:rPr>
          <w:rFonts w:ascii="Arial" w:hAnsi="Arial" w:cs="Arial"/>
          <w:b/>
          <w:bCs/>
          <w:sz w:val="24"/>
          <w:szCs w:val="24"/>
          <w:shd w:val="clear" w:color="auto" w:fill="FFFFFF"/>
          <w:lang w:val="en-US"/>
        </w:rPr>
        <w:t>The American journal of medicine</w:t>
      </w:r>
      <w:r w:rsidRPr="00CD2292">
        <w:rPr>
          <w:rFonts w:ascii="Arial" w:hAnsi="Arial" w:cs="Arial"/>
          <w:sz w:val="24"/>
          <w:szCs w:val="24"/>
          <w:shd w:val="clear" w:color="auto" w:fill="FFFFFF"/>
          <w:lang w:val="en-US"/>
        </w:rPr>
        <w:t>, v. 87, n. 3, p. S36-S40, 1989.</w:t>
      </w:r>
      <w:r w:rsidRPr="00886538">
        <w:rPr>
          <w:rFonts w:ascii="Arial" w:hAnsi="Arial" w:cs="Arial"/>
          <w:sz w:val="24"/>
          <w:szCs w:val="24"/>
          <w:shd w:val="clear" w:color="auto" w:fill="FFFFFF"/>
          <w:lang w:val="en-US"/>
        </w:rPr>
        <w:t xml:space="preserve">Disponível </w:t>
      </w:r>
      <w:proofErr w:type="spellStart"/>
      <w:r w:rsidRPr="00886538">
        <w:rPr>
          <w:rFonts w:ascii="Arial" w:hAnsi="Arial" w:cs="Arial"/>
          <w:sz w:val="24"/>
          <w:szCs w:val="24"/>
          <w:shd w:val="clear" w:color="auto" w:fill="FFFFFF"/>
          <w:lang w:val="en-US"/>
        </w:rPr>
        <w:t>em</w:t>
      </w:r>
      <w:proofErr w:type="spellEnd"/>
      <w:r w:rsidRPr="00886538">
        <w:rPr>
          <w:rFonts w:ascii="Arial" w:hAnsi="Arial" w:cs="Arial"/>
          <w:sz w:val="24"/>
          <w:szCs w:val="24"/>
          <w:shd w:val="clear" w:color="auto" w:fill="FFFFFF"/>
          <w:lang w:val="en-US"/>
        </w:rPr>
        <w:t xml:space="preserve"> https://www.sciencedirect.com/science/article/abs/pii/0002934389905305.</w:t>
      </w:r>
    </w:p>
    <w:p w14:paraId="3E278A13" w14:textId="77777777" w:rsidR="005707FF" w:rsidRPr="00886538" w:rsidRDefault="005707FF" w:rsidP="005707FF">
      <w:pPr>
        <w:pStyle w:val="PargrafodaLista"/>
        <w:spacing w:after="200" w:line="240" w:lineRule="auto"/>
        <w:ind w:left="0"/>
        <w:jc w:val="both"/>
        <w:rPr>
          <w:rFonts w:ascii="Arial" w:hAnsi="Arial" w:cs="Arial"/>
          <w:sz w:val="24"/>
          <w:szCs w:val="24"/>
          <w:lang w:val="en-US"/>
        </w:rPr>
      </w:pPr>
    </w:p>
    <w:p w14:paraId="0DE8C875" w14:textId="77777777" w:rsidR="005707FF" w:rsidRPr="00A265C2" w:rsidRDefault="005707FF" w:rsidP="005841AC">
      <w:pPr>
        <w:pStyle w:val="PargrafodaLista"/>
        <w:numPr>
          <w:ilvl w:val="0"/>
          <w:numId w:val="8"/>
        </w:numPr>
        <w:spacing w:after="200" w:line="240" w:lineRule="auto"/>
        <w:ind w:left="0"/>
        <w:jc w:val="both"/>
        <w:rPr>
          <w:rFonts w:ascii="Arial" w:hAnsi="Arial" w:cs="Arial"/>
          <w:sz w:val="24"/>
          <w:szCs w:val="24"/>
        </w:rPr>
      </w:pPr>
      <w:r w:rsidRPr="00903697">
        <w:rPr>
          <w:rFonts w:ascii="Arial" w:hAnsi="Arial" w:cs="Arial"/>
          <w:sz w:val="24"/>
          <w:szCs w:val="24"/>
          <w:shd w:val="clear" w:color="auto" w:fill="FFFFFF"/>
        </w:rPr>
        <w:t xml:space="preserve">NAVARRO, J. F. et al. </w:t>
      </w:r>
      <w:r w:rsidR="00CD2292" w:rsidRPr="00CD2292">
        <w:rPr>
          <w:rFonts w:ascii="Arial" w:hAnsi="Arial" w:cs="Arial"/>
          <w:sz w:val="24"/>
          <w:szCs w:val="24"/>
          <w:shd w:val="clear" w:color="auto" w:fill="FFFFFF"/>
          <w:lang w:val="en-US"/>
        </w:rPr>
        <w:t>Hepatitis C virus infection decreases the effective antibody response to hepatitis B vaccine in hemodialysis patients. </w:t>
      </w:r>
      <w:proofErr w:type="spellStart"/>
      <w:r w:rsidRPr="00903697">
        <w:rPr>
          <w:rFonts w:ascii="Arial" w:hAnsi="Arial" w:cs="Arial"/>
          <w:b/>
          <w:bCs/>
          <w:sz w:val="24"/>
          <w:szCs w:val="24"/>
          <w:shd w:val="clear" w:color="auto" w:fill="FFFFFF"/>
        </w:rPr>
        <w:t>Clinicalnephrology</w:t>
      </w:r>
      <w:proofErr w:type="spellEnd"/>
      <w:r w:rsidRPr="00903697">
        <w:rPr>
          <w:rFonts w:ascii="Arial" w:hAnsi="Arial" w:cs="Arial"/>
          <w:sz w:val="24"/>
          <w:szCs w:val="24"/>
          <w:shd w:val="clear" w:color="auto" w:fill="FFFFFF"/>
        </w:rPr>
        <w:t>, v. 41, n. 2, p. 113, 1994.</w:t>
      </w:r>
      <w:r w:rsidR="00964CDD" w:rsidRPr="00903697">
        <w:rPr>
          <w:rFonts w:ascii="Arial" w:hAnsi="Arial" w:cs="Arial"/>
          <w:sz w:val="24"/>
          <w:szCs w:val="24"/>
          <w:shd w:val="clear" w:color="auto" w:fill="FFFFFF"/>
        </w:rPr>
        <w:t xml:space="preserve"> Disponível em https://pubmed.ncbi.nlm.nih.gov/8004827/.</w:t>
      </w:r>
    </w:p>
    <w:p w14:paraId="365EE3E8" w14:textId="77777777" w:rsidR="005841AC" w:rsidRPr="00A265C2" w:rsidRDefault="005841AC" w:rsidP="005841AC">
      <w:pPr>
        <w:pStyle w:val="PargrafodaLista"/>
        <w:spacing w:line="240" w:lineRule="auto"/>
        <w:ind w:left="0"/>
        <w:rPr>
          <w:rFonts w:ascii="Arial" w:hAnsi="Arial" w:cs="Arial"/>
          <w:sz w:val="24"/>
          <w:szCs w:val="24"/>
        </w:rPr>
      </w:pPr>
    </w:p>
    <w:p w14:paraId="715A05FB" w14:textId="77777777" w:rsidR="005841AC" w:rsidRPr="00903697" w:rsidRDefault="005841AC" w:rsidP="005841AC">
      <w:pPr>
        <w:pStyle w:val="PargrafodaLista"/>
        <w:numPr>
          <w:ilvl w:val="0"/>
          <w:numId w:val="8"/>
        </w:numPr>
        <w:spacing w:after="200" w:line="240" w:lineRule="auto"/>
        <w:ind w:left="0"/>
        <w:jc w:val="both"/>
        <w:rPr>
          <w:rFonts w:ascii="Arial" w:hAnsi="Arial" w:cs="Arial"/>
          <w:sz w:val="24"/>
          <w:szCs w:val="24"/>
          <w:lang w:val="en-US"/>
        </w:rPr>
      </w:pPr>
      <w:r w:rsidRPr="00903697">
        <w:rPr>
          <w:rFonts w:ascii="Arial" w:hAnsi="Arial" w:cs="Arial"/>
          <w:sz w:val="24"/>
          <w:szCs w:val="24"/>
          <w:lang w:val="en-US"/>
        </w:rPr>
        <w:t>JAISWAL, S. B. CHITNIS, D. S. Antibody response to Hepatitis B vaccine among Hemodialysis patients. Lancet 1995; 346(18): 1363.</w:t>
      </w:r>
      <w:r w:rsidR="00964CDD" w:rsidRPr="00903697">
        <w:rPr>
          <w:rFonts w:ascii="Arial" w:hAnsi="Arial" w:cs="Arial"/>
          <w:sz w:val="24"/>
          <w:szCs w:val="24"/>
          <w:lang w:val="en-US"/>
        </w:rPr>
        <w:t>Disponívelem https://pubmed.ncbi.nlm.nih.gov/7475791/</w:t>
      </w:r>
    </w:p>
    <w:p w14:paraId="25A4720F" w14:textId="77777777" w:rsidR="00E601F0" w:rsidRPr="00903697" w:rsidRDefault="005841AC" w:rsidP="00E601F0">
      <w:pPr>
        <w:pStyle w:val="PargrafodaLista"/>
        <w:spacing w:after="200" w:line="240" w:lineRule="auto"/>
        <w:ind w:left="0"/>
        <w:jc w:val="both"/>
        <w:rPr>
          <w:rFonts w:ascii="Arial" w:hAnsi="Arial" w:cs="Arial"/>
          <w:sz w:val="24"/>
          <w:szCs w:val="24"/>
          <w:lang w:val="en-US"/>
        </w:rPr>
      </w:pPr>
      <w:r w:rsidRPr="00903697">
        <w:rPr>
          <w:rFonts w:ascii="Arial" w:hAnsi="Arial" w:cs="Arial"/>
          <w:sz w:val="24"/>
          <w:szCs w:val="24"/>
          <w:lang w:val="en-US"/>
        </w:rPr>
        <w:t>.</w:t>
      </w:r>
    </w:p>
    <w:p w14:paraId="30B8774D" w14:textId="77777777" w:rsidR="00E601F0" w:rsidRPr="00903697" w:rsidRDefault="00CD2292" w:rsidP="005841AC">
      <w:pPr>
        <w:pStyle w:val="PargrafodaLista"/>
        <w:numPr>
          <w:ilvl w:val="0"/>
          <w:numId w:val="8"/>
        </w:numPr>
        <w:spacing w:after="200" w:line="240" w:lineRule="auto"/>
        <w:ind w:left="0"/>
        <w:jc w:val="both"/>
        <w:rPr>
          <w:rFonts w:ascii="Arial" w:hAnsi="Arial" w:cs="Arial"/>
          <w:sz w:val="24"/>
          <w:szCs w:val="24"/>
          <w:lang w:val="en-US"/>
        </w:rPr>
      </w:pPr>
      <w:r w:rsidRPr="00CD2292">
        <w:rPr>
          <w:rFonts w:ascii="Arial" w:hAnsi="Arial" w:cs="Arial"/>
          <w:sz w:val="24"/>
          <w:szCs w:val="24"/>
          <w:shd w:val="clear" w:color="auto" w:fill="FFFFFF"/>
          <w:lang w:val="en-US"/>
        </w:rPr>
        <w:t xml:space="preserve">ALAVIAN, </w:t>
      </w:r>
      <w:proofErr w:type="spellStart"/>
      <w:r w:rsidRPr="00CD2292">
        <w:rPr>
          <w:rFonts w:ascii="Arial" w:hAnsi="Arial" w:cs="Arial"/>
          <w:sz w:val="24"/>
          <w:szCs w:val="24"/>
          <w:shd w:val="clear" w:color="auto" w:fill="FFFFFF"/>
          <w:lang w:val="en-US"/>
        </w:rPr>
        <w:t>Seyed</w:t>
      </w:r>
      <w:proofErr w:type="spellEnd"/>
      <w:r w:rsidRPr="00CD2292">
        <w:rPr>
          <w:rFonts w:ascii="Arial" w:hAnsi="Arial" w:cs="Arial"/>
          <w:sz w:val="24"/>
          <w:szCs w:val="24"/>
          <w:shd w:val="clear" w:color="auto" w:fill="FFFFFF"/>
          <w:lang w:val="en-US"/>
        </w:rPr>
        <w:t>-Moayed et al. Long-term efficacy of hepatitis B vaccination in healthcare workers of Oil Company Hospital, Tehran, Iran (1989–2005). </w:t>
      </w:r>
      <w:r w:rsidRPr="00CD2292">
        <w:rPr>
          <w:rFonts w:ascii="Arial" w:hAnsi="Arial" w:cs="Arial"/>
          <w:b/>
          <w:bCs/>
          <w:sz w:val="24"/>
          <w:szCs w:val="24"/>
          <w:shd w:val="clear" w:color="auto" w:fill="FFFFFF"/>
          <w:lang w:val="en-US"/>
        </w:rPr>
        <w:t xml:space="preserve">European </w:t>
      </w:r>
      <w:r w:rsidRPr="00CD2292">
        <w:rPr>
          <w:rFonts w:ascii="Arial" w:hAnsi="Arial" w:cs="Arial"/>
          <w:b/>
          <w:bCs/>
          <w:sz w:val="24"/>
          <w:szCs w:val="24"/>
          <w:shd w:val="clear" w:color="auto" w:fill="FFFFFF"/>
          <w:lang w:val="en-US"/>
        </w:rPr>
        <w:lastRenderedPageBreak/>
        <w:t>journal of gastroenterology &amp; hepatology</w:t>
      </w:r>
      <w:r w:rsidRPr="00CD2292">
        <w:rPr>
          <w:rFonts w:ascii="Arial" w:hAnsi="Arial" w:cs="Arial"/>
          <w:sz w:val="24"/>
          <w:szCs w:val="24"/>
          <w:shd w:val="clear" w:color="auto" w:fill="FFFFFF"/>
          <w:lang w:val="en-US"/>
        </w:rPr>
        <w:t>, v. 20, n. 2, p. 131-134, 2008.</w:t>
      </w:r>
      <w:r w:rsidR="00964CDD" w:rsidRPr="00903697">
        <w:rPr>
          <w:rFonts w:ascii="Arial" w:hAnsi="Arial" w:cs="Arial"/>
          <w:sz w:val="24"/>
          <w:szCs w:val="24"/>
          <w:shd w:val="clear" w:color="auto" w:fill="FFFFFF"/>
          <w:lang w:val="en-US"/>
        </w:rPr>
        <w:t>Disponívelem https://journals.lww.com/eurojgh/Abstract/2008/02000/Long_term_efficacy_of_hepatitis_B_vaccination_in.9.aspx.</w:t>
      </w:r>
    </w:p>
    <w:p w14:paraId="2FC59440" w14:textId="77777777" w:rsidR="005841AC" w:rsidRPr="00903697" w:rsidRDefault="005841AC" w:rsidP="005841AC">
      <w:pPr>
        <w:pStyle w:val="PargrafodaLista"/>
        <w:spacing w:line="240" w:lineRule="auto"/>
        <w:ind w:left="0"/>
        <w:rPr>
          <w:rFonts w:ascii="Arial" w:hAnsi="Arial" w:cs="Arial"/>
          <w:sz w:val="24"/>
          <w:szCs w:val="24"/>
          <w:lang w:val="en-US"/>
        </w:rPr>
      </w:pPr>
    </w:p>
    <w:p w14:paraId="49D51578" w14:textId="77777777" w:rsidR="00E601F0" w:rsidRPr="00903697" w:rsidRDefault="00CD2292" w:rsidP="00E601F0">
      <w:pPr>
        <w:pStyle w:val="PargrafodaLista"/>
        <w:numPr>
          <w:ilvl w:val="0"/>
          <w:numId w:val="8"/>
        </w:numPr>
        <w:spacing w:after="200" w:line="240" w:lineRule="auto"/>
        <w:ind w:left="0"/>
        <w:jc w:val="both"/>
        <w:rPr>
          <w:rFonts w:ascii="Arial" w:hAnsi="Arial" w:cs="Arial"/>
          <w:sz w:val="24"/>
          <w:szCs w:val="24"/>
          <w:lang w:val="en-US"/>
        </w:rPr>
      </w:pPr>
      <w:r w:rsidRPr="00CD2292">
        <w:rPr>
          <w:rFonts w:ascii="Arial" w:hAnsi="Arial" w:cs="Arial"/>
          <w:sz w:val="24"/>
          <w:szCs w:val="24"/>
          <w:shd w:val="clear" w:color="auto" w:fill="FFFFFF"/>
          <w:lang w:val="en-US"/>
        </w:rPr>
        <w:t xml:space="preserve">BULKOW, Lisa R. et al. Increases in levels of antibody to hepatitis B surface antigen in an </w:t>
      </w:r>
      <w:proofErr w:type="gramStart"/>
      <w:r w:rsidRPr="00CD2292">
        <w:rPr>
          <w:rFonts w:ascii="Arial" w:hAnsi="Arial" w:cs="Arial"/>
          <w:sz w:val="24"/>
          <w:szCs w:val="24"/>
          <w:shd w:val="clear" w:color="auto" w:fill="FFFFFF"/>
          <w:lang w:val="en-US"/>
        </w:rPr>
        <w:t xml:space="preserve">immunized population </w:t>
      </w:r>
      <w:r w:rsidRPr="00CD2292">
        <w:rPr>
          <w:rFonts w:ascii="Arial" w:hAnsi="Arial" w:cs="Arial"/>
          <w:b/>
          <w:bCs/>
          <w:sz w:val="24"/>
          <w:szCs w:val="24"/>
          <w:shd w:val="clear" w:color="auto" w:fill="FFFFFF"/>
          <w:lang w:val="en-US"/>
        </w:rPr>
        <w:t>Clinical infectious diseases</w:t>
      </w:r>
      <w:proofErr w:type="gramEnd"/>
      <w:r w:rsidRPr="00CD2292">
        <w:rPr>
          <w:rFonts w:ascii="Arial" w:hAnsi="Arial" w:cs="Arial"/>
          <w:sz w:val="24"/>
          <w:szCs w:val="24"/>
          <w:shd w:val="clear" w:color="auto" w:fill="FFFFFF"/>
          <w:lang w:val="en-US"/>
        </w:rPr>
        <w:t>, v. 26, n. 4, p. 933-937, 1998</w:t>
      </w:r>
      <w:r w:rsidR="00964CDD" w:rsidRPr="00903697">
        <w:rPr>
          <w:rFonts w:ascii="Arial" w:hAnsi="Arial" w:cs="Arial"/>
          <w:sz w:val="24"/>
          <w:szCs w:val="24"/>
          <w:shd w:val="clear" w:color="auto" w:fill="FFFFFF"/>
          <w:lang w:val="en-US"/>
        </w:rPr>
        <w:t>Disponívelemhttps://academic.oup.com/cid/article/26/4/933/415530.</w:t>
      </w:r>
    </w:p>
    <w:p w14:paraId="0EA57B9B" w14:textId="77777777" w:rsidR="00874BDC" w:rsidRPr="00903697" w:rsidRDefault="00874BDC" w:rsidP="00874BDC">
      <w:pPr>
        <w:pStyle w:val="PargrafodaLista"/>
        <w:spacing w:after="200" w:line="240" w:lineRule="auto"/>
        <w:ind w:left="0"/>
        <w:jc w:val="both"/>
        <w:rPr>
          <w:rFonts w:ascii="Arial" w:hAnsi="Arial" w:cs="Arial"/>
          <w:sz w:val="24"/>
          <w:szCs w:val="24"/>
          <w:lang w:val="en-US"/>
        </w:rPr>
      </w:pPr>
    </w:p>
    <w:p w14:paraId="7D83A912" w14:textId="77777777" w:rsidR="00E601F0" w:rsidRPr="00A265C2" w:rsidRDefault="00E601F0" w:rsidP="005841AC">
      <w:pPr>
        <w:pStyle w:val="PargrafodaLista"/>
        <w:numPr>
          <w:ilvl w:val="0"/>
          <w:numId w:val="8"/>
        </w:numPr>
        <w:spacing w:after="200" w:line="240" w:lineRule="auto"/>
        <w:ind w:left="0"/>
        <w:jc w:val="both"/>
        <w:rPr>
          <w:rFonts w:ascii="Arial" w:hAnsi="Arial" w:cs="Arial"/>
          <w:sz w:val="24"/>
          <w:szCs w:val="24"/>
        </w:rPr>
      </w:pPr>
      <w:r w:rsidRPr="00903697">
        <w:rPr>
          <w:rFonts w:ascii="Arial" w:hAnsi="Arial" w:cs="Arial"/>
          <w:sz w:val="24"/>
          <w:szCs w:val="24"/>
          <w:shd w:val="clear" w:color="auto" w:fill="FFFFFF"/>
        </w:rPr>
        <w:t xml:space="preserve">PINHEIRO, </w:t>
      </w:r>
      <w:proofErr w:type="spellStart"/>
      <w:r w:rsidRPr="00903697">
        <w:rPr>
          <w:rFonts w:ascii="Arial" w:hAnsi="Arial" w:cs="Arial"/>
          <w:sz w:val="24"/>
          <w:szCs w:val="24"/>
          <w:shd w:val="clear" w:color="auto" w:fill="FFFFFF"/>
        </w:rPr>
        <w:t>Joziane</w:t>
      </w:r>
      <w:proofErr w:type="spellEnd"/>
      <w:r w:rsidRPr="00903697">
        <w:rPr>
          <w:rFonts w:ascii="Arial" w:hAnsi="Arial" w:cs="Arial"/>
          <w:sz w:val="24"/>
          <w:szCs w:val="24"/>
          <w:shd w:val="clear" w:color="auto" w:fill="FFFFFF"/>
        </w:rPr>
        <w:t xml:space="preserve">; ZEITOUNE, Regina Célia </w:t>
      </w:r>
      <w:proofErr w:type="spellStart"/>
      <w:r w:rsidRPr="00903697">
        <w:rPr>
          <w:rFonts w:ascii="Arial" w:hAnsi="Arial" w:cs="Arial"/>
          <w:sz w:val="24"/>
          <w:szCs w:val="24"/>
          <w:shd w:val="clear" w:color="auto" w:fill="FFFFFF"/>
        </w:rPr>
        <w:t>Gollner</w:t>
      </w:r>
      <w:proofErr w:type="spellEnd"/>
      <w:r w:rsidRPr="00903697">
        <w:rPr>
          <w:rFonts w:ascii="Arial" w:hAnsi="Arial" w:cs="Arial"/>
          <w:sz w:val="24"/>
          <w:szCs w:val="24"/>
          <w:shd w:val="clear" w:color="auto" w:fill="FFFFFF"/>
        </w:rPr>
        <w:t>. O profissional de enfermagem e a realização do teste sorológico para hepatite B. </w:t>
      </w:r>
      <w:r w:rsidRPr="00903697">
        <w:rPr>
          <w:rFonts w:ascii="Arial" w:hAnsi="Arial" w:cs="Arial"/>
          <w:b/>
          <w:bCs/>
          <w:sz w:val="24"/>
          <w:szCs w:val="24"/>
          <w:shd w:val="clear" w:color="auto" w:fill="FFFFFF"/>
        </w:rPr>
        <w:t xml:space="preserve">Rev. </w:t>
      </w:r>
      <w:proofErr w:type="spellStart"/>
      <w:r w:rsidRPr="00903697">
        <w:rPr>
          <w:rFonts w:ascii="Arial" w:hAnsi="Arial" w:cs="Arial"/>
          <w:b/>
          <w:bCs/>
          <w:sz w:val="24"/>
          <w:szCs w:val="24"/>
          <w:shd w:val="clear" w:color="auto" w:fill="FFFFFF"/>
        </w:rPr>
        <w:t>enferm</w:t>
      </w:r>
      <w:proofErr w:type="spellEnd"/>
      <w:r w:rsidRPr="00903697">
        <w:rPr>
          <w:rFonts w:ascii="Arial" w:hAnsi="Arial" w:cs="Arial"/>
          <w:b/>
          <w:bCs/>
          <w:sz w:val="24"/>
          <w:szCs w:val="24"/>
          <w:shd w:val="clear" w:color="auto" w:fill="FFFFFF"/>
        </w:rPr>
        <w:t>. UERJ</w:t>
      </w:r>
      <w:r w:rsidRPr="00903697">
        <w:rPr>
          <w:rFonts w:ascii="Arial" w:hAnsi="Arial" w:cs="Arial"/>
          <w:sz w:val="24"/>
          <w:szCs w:val="24"/>
          <w:shd w:val="clear" w:color="auto" w:fill="FFFFFF"/>
        </w:rPr>
        <w:t>, 2009.</w:t>
      </w:r>
      <w:r w:rsidR="00964CDD" w:rsidRPr="00903697">
        <w:rPr>
          <w:rFonts w:ascii="Arial" w:hAnsi="Arial" w:cs="Arial"/>
          <w:sz w:val="24"/>
          <w:szCs w:val="24"/>
          <w:shd w:val="clear" w:color="auto" w:fill="FFFFFF"/>
        </w:rPr>
        <w:t xml:space="preserve"> Disponível em https://pesquisa.bvsalud.org/portal/resource/pt/lil-513356.</w:t>
      </w:r>
    </w:p>
    <w:p w14:paraId="3EFA077B" w14:textId="77777777" w:rsidR="00E601F0" w:rsidRPr="00903697" w:rsidRDefault="00E601F0" w:rsidP="00E601F0">
      <w:pPr>
        <w:pStyle w:val="PargrafodaLista"/>
        <w:rPr>
          <w:rFonts w:ascii="Arial" w:hAnsi="Arial" w:cs="Arial"/>
          <w:sz w:val="24"/>
          <w:szCs w:val="24"/>
        </w:rPr>
      </w:pPr>
    </w:p>
    <w:p w14:paraId="18FDE1E9" w14:textId="77777777" w:rsidR="00E601F0" w:rsidRPr="00903697" w:rsidRDefault="00E601F0" w:rsidP="005841AC">
      <w:pPr>
        <w:pStyle w:val="PargrafodaLista"/>
        <w:numPr>
          <w:ilvl w:val="0"/>
          <w:numId w:val="8"/>
        </w:numPr>
        <w:spacing w:after="200" w:line="240" w:lineRule="auto"/>
        <w:ind w:left="0"/>
        <w:jc w:val="both"/>
        <w:rPr>
          <w:rFonts w:ascii="Arial" w:hAnsi="Arial" w:cs="Arial"/>
          <w:sz w:val="24"/>
          <w:szCs w:val="24"/>
        </w:rPr>
      </w:pPr>
      <w:r w:rsidRPr="00903697">
        <w:rPr>
          <w:rFonts w:ascii="Arial" w:hAnsi="Arial" w:cs="Arial"/>
          <w:sz w:val="24"/>
          <w:szCs w:val="24"/>
          <w:shd w:val="clear" w:color="auto" w:fill="FFFFFF"/>
        </w:rPr>
        <w:t xml:space="preserve">SOUZA, Fernanda de Oliveira et al. Vacinação contra hepatite B e </w:t>
      </w:r>
      <w:proofErr w:type="spellStart"/>
      <w:r w:rsidRPr="00903697">
        <w:rPr>
          <w:rFonts w:ascii="Arial" w:hAnsi="Arial" w:cs="Arial"/>
          <w:sz w:val="24"/>
          <w:szCs w:val="24"/>
          <w:shd w:val="clear" w:color="auto" w:fill="FFFFFF"/>
        </w:rPr>
        <w:t>Anti-HBS</w:t>
      </w:r>
      <w:proofErr w:type="spellEnd"/>
      <w:r w:rsidRPr="00903697">
        <w:rPr>
          <w:rFonts w:ascii="Arial" w:hAnsi="Arial" w:cs="Arial"/>
          <w:sz w:val="24"/>
          <w:szCs w:val="24"/>
          <w:shd w:val="clear" w:color="auto" w:fill="FFFFFF"/>
        </w:rPr>
        <w:t xml:space="preserve"> entre trabalhadores da saúde. </w:t>
      </w:r>
      <w:r w:rsidRPr="00903697">
        <w:rPr>
          <w:rFonts w:ascii="Arial" w:hAnsi="Arial" w:cs="Arial"/>
          <w:b/>
          <w:bCs/>
          <w:sz w:val="24"/>
          <w:szCs w:val="24"/>
          <w:shd w:val="clear" w:color="auto" w:fill="FFFFFF"/>
        </w:rPr>
        <w:t>Cadernos Saúde Coletiva</w:t>
      </w:r>
      <w:r w:rsidRPr="00903697">
        <w:rPr>
          <w:rFonts w:ascii="Arial" w:hAnsi="Arial" w:cs="Arial"/>
          <w:sz w:val="24"/>
          <w:szCs w:val="24"/>
          <w:shd w:val="clear" w:color="auto" w:fill="FFFFFF"/>
        </w:rPr>
        <w:t>, v. 23, n. 2, p. 172-179, 2015.</w:t>
      </w:r>
      <w:r w:rsidR="00964CDD" w:rsidRPr="00903697">
        <w:rPr>
          <w:rFonts w:ascii="Arial" w:hAnsi="Arial" w:cs="Arial"/>
          <w:sz w:val="24"/>
          <w:szCs w:val="24"/>
          <w:shd w:val="clear" w:color="auto" w:fill="FFFFFF"/>
        </w:rPr>
        <w:t xml:space="preserve"> Disponível em https://www.scielo.br/scielo.php?pid=S1414-462X2015000200172&amp;script=sci_arttext&amp;tlng=pt.</w:t>
      </w:r>
    </w:p>
    <w:p w14:paraId="5ED07485" w14:textId="77777777" w:rsidR="00E601F0" w:rsidRPr="00903697" w:rsidRDefault="00E601F0" w:rsidP="00E601F0">
      <w:pPr>
        <w:pStyle w:val="PargrafodaLista"/>
        <w:rPr>
          <w:rFonts w:ascii="Arial" w:hAnsi="Arial" w:cs="Arial"/>
          <w:sz w:val="24"/>
          <w:szCs w:val="24"/>
        </w:rPr>
      </w:pPr>
    </w:p>
    <w:p w14:paraId="7E12FA17" w14:textId="77777777" w:rsidR="00E601F0" w:rsidRPr="00A265C2" w:rsidRDefault="00E601F0" w:rsidP="00E601F0">
      <w:pPr>
        <w:pStyle w:val="PargrafodaLista"/>
        <w:numPr>
          <w:ilvl w:val="0"/>
          <w:numId w:val="8"/>
        </w:numPr>
        <w:spacing w:after="200" w:line="240" w:lineRule="auto"/>
        <w:ind w:left="0"/>
        <w:jc w:val="both"/>
        <w:rPr>
          <w:rFonts w:ascii="Arial" w:hAnsi="Arial" w:cs="Arial"/>
          <w:sz w:val="24"/>
          <w:szCs w:val="24"/>
          <w:lang w:val="en-US"/>
        </w:rPr>
      </w:pPr>
      <w:r w:rsidRPr="00903697">
        <w:rPr>
          <w:rFonts w:ascii="Arial" w:hAnsi="Arial" w:cs="Arial"/>
          <w:sz w:val="24"/>
          <w:szCs w:val="24"/>
          <w:shd w:val="clear" w:color="auto" w:fill="FFFFFF"/>
        </w:rPr>
        <w:t xml:space="preserve">COSTA, Nathália Cristina Pereira da et al. Monitoramento dos títulos de </w:t>
      </w:r>
      <w:proofErr w:type="spellStart"/>
      <w:r w:rsidRPr="00903697">
        <w:rPr>
          <w:rFonts w:ascii="Arial" w:hAnsi="Arial" w:cs="Arial"/>
          <w:sz w:val="24"/>
          <w:szCs w:val="24"/>
          <w:shd w:val="clear" w:color="auto" w:fill="FFFFFF"/>
        </w:rPr>
        <w:t>anti-HBs</w:t>
      </w:r>
      <w:proofErr w:type="spellEnd"/>
      <w:r w:rsidRPr="00903697">
        <w:rPr>
          <w:rFonts w:ascii="Arial" w:hAnsi="Arial" w:cs="Arial"/>
          <w:sz w:val="24"/>
          <w:szCs w:val="24"/>
          <w:shd w:val="clear" w:color="auto" w:fill="FFFFFF"/>
        </w:rPr>
        <w:t xml:space="preserve"> pós-vacinal em crianças e adolescentes em fase </w:t>
      </w:r>
      <w:proofErr w:type="spellStart"/>
      <w:r w:rsidRPr="00903697">
        <w:rPr>
          <w:rFonts w:ascii="Arial" w:hAnsi="Arial" w:cs="Arial"/>
          <w:sz w:val="24"/>
          <w:szCs w:val="24"/>
          <w:shd w:val="clear" w:color="auto" w:fill="FFFFFF"/>
        </w:rPr>
        <w:t>pré</w:t>
      </w:r>
      <w:proofErr w:type="spellEnd"/>
      <w:r w:rsidRPr="00903697">
        <w:rPr>
          <w:rFonts w:ascii="Arial" w:hAnsi="Arial" w:cs="Arial"/>
          <w:sz w:val="24"/>
          <w:szCs w:val="24"/>
          <w:shd w:val="clear" w:color="auto" w:fill="FFFFFF"/>
        </w:rPr>
        <w:t>-dialítica da doença renal crônica. </w:t>
      </w:r>
      <w:r w:rsidR="00CD2292" w:rsidRPr="00CD2292">
        <w:rPr>
          <w:rFonts w:ascii="Arial" w:hAnsi="Arial" w:cs="Arial"/>
          <w:b/>
          <w:bCs/>
          <w:sz w:val="24"/>
          <w:szCs w:val="24"/>
          <w:shd w:val="clear" w:color="auto" w:fill="FFFFFF"/>
          <w:lang w:val="en-US"/>
        </w:rPr>
        <w:t>Brazilian Journal of Nephrology</w:t>
      </w:r>
      <w:r w:rsidR="00CD2292" w:rsidRPr="00CD2292">
        <w:rPr>
          <w:rFonts w:ascii="Arial" w:hAnsi="Arial" w:cs="Arial"/>
          <w:sz w:val="24"/>
          <w:szCs w:val="24"/>
          <w:shd w:val="clear" w:color="auto" w:fill="FFFFFF"/>
          <w:lang w:val="en-US"/>
        </w:rPr>
        <w:t xml:space="preserve">, v. 39, n. 3, p. 296-304, 2017.Disponível </w:t>
      </w:r>
      <w:proofErr w:type="spellStart"/>
      <w:r w:rsidR="00CD2292" w:rsidRPr="00CD2292">
        <w:rPr>
          <w:rFonts w:ascii="Arial" w:hAnsi="Arial" w:cs="Arial"/>
          <w:sz w:val="24"/>
          <w:szCs w:val="24"/>
          <w:shd w:val="clear" w:color="auto" w:fill="FFFFFF"/>
          <w:lang w:val="en-US"/>
        </w:rPr>
        <w:t>em</w:t>
      </w:r>
      <w:proofErr w:type="spellEnd"/>
      <w:r w:rsidR="00CD2292" w:rsidRPr="00CD2292">
        <w:rPr>
          <w:rFonts w:ascii="Arial" w:hAnsi="Arial" w:cs="Arial"/>
          <w:sz w:val="24"/>
          <w:szCs w:val="24"/>
          <w:shd w:val="clear" w:color="auto" w:fill="FFFFFF"/>
          <w:lang w:val="en-US"/>
        </w:rPr>
        <w:t xml:space="preserve"> https://www.scielo.br/scielo.php?pid=S0101-28002017000300296&amp;script=sci_arttext&amp;tlng=pt.</w:t>
      </w:r>
    </w:p>
    <w:p w14:paraId="39113426" w14:textId="77777777" w:rsidR="00874BDC" w:rsidRPr="00A265C2" w:rsidRDefault="00874BDC" w:rsidP="00874BDC">
      <w:pPr>
        <w:pStyle w:val="PargrafodaLista"/>
        <w:spacing w:after="200" w:line="240" w:lineRule="auto"/>
        <w:ind w:left="0"/>
        <w:jc w:val="both"/>
        <w:rPr>
          <w:rFonts w:ascii="Arial" w:hAnsi="Arial" w:cs="Arial"/>
          <w:sz w:val="24"/>
          <w:szCs w:val="24"/>
          <w:lang w:val="en-US"/>
        </w:rPr>
      </w:pPr>
    </w:p>
    <w:p w14:paraId="640A6FF1" w14:textId="77777777" w:rsidR="00E601F0" w:rsidRPr="00A265C2" w:rsidRDefault="00E601F0" w:rsidP="005841AC">
      <w:pPr>
        <w:pStyle w:val="PargrafodaLista"/>
        <w:numPr>
          <w:ilvl w:val="0"/>
          <w:numId w:val="8"/>
        </w:numPr>
        <w:spacing w:after="200" w:line="240" w:lineRule="auto"/>
        <w:ind w:left="0"/>
        <w:jc w:val="both"/>
        <w:rPr>
          <w:rFonts w:ascii="Arial" w:hAnsi="Arial" w:cs="Arial"/>
          <w:sz w:val="24"/>
          <w:szCs w:val="24"/>
        </w:rPr>
      </w:pPr>
      <w:r w:rsidRPr="00903697">
        <w:rPr>
          <w:rFonts w:ascii="Arial" w:hAnsi="Arial" w:cs="Arial"/>
          <w:sz w:val="24"/>
          <w:szCs w:val="24"/>
          <w:shd w:val="clear" w:color="auto" w:fill="FFFFFF"/>
        </w:rPr>
        <w:t xml:space="preserve">NAZAR, André Nogueira et al. Análise da soropositividade do </w:t>
      </w:r>
      <w:proofErr w:type="spellStart"/>
      <w:r w:rsidRPr="00903697">
        <w:rPr>
          <w:rFonts w:ascii="Arial" w:hAnsi="Arial" w:cs="Arial"/>
          <w:sz w:val="24"/>
          <w:szCs w:val="24"/>
          <w:shd w:val="clear" w:color="auto" w:fill="FFFFFF"/>
        </w:rPr>
        <w:t>anti-HBs</w:t>
      </w:r>
      <w:proofErr w:type="spellEnd"/>
      <w:r w:rsidRPr="00903697">
        <w:rPr>
          <w:rFonts w:ascii="Arial" w:hAnsi="Arial" w:cs="Arial"/>
          <w:sz w:val="24"/>
          <w:szCs w:val="24"/>
          <w:shd w:val="clear" w:color="auto" w:fill="FFFFFF"/>
        </w:rPr>
        <w:t xml:space="preserve"> em profissionais de saúde. </w:t>
      </w:r>
      <w:r w:rsidRPr="00903697">
        <w:rPr>
          <w:rFonts w:ascii="Arial" w:hAnsi="Arial" w:cs="Arial"/>
          <w:b/>
          <w:bCs/>
          <w:sz w:val="24"/>
          <w:szCs w:val="24"/>
          <w:shd w:val="clear" w:color="auto" w:fill="FFFFFF"/>
        </w:rPr>
        <w:t>Cad. saúde colet.,(Rio J.)</w:t>
      </w:r>
      <w:r w:rsidRPr="00903697">
        <w:rPr>
          <w:rFonts w:ascii="Arial" w:hAnsi="Arial" w:cs="Arial"/>
          <w:sz w:val="24"/>
          <w:szCs w:val="24"/>
          <w:shd w:val="clear" w:color="auto" w:fill="FFFFFF"/>
        </w:rPr>
        <w:t>, 2008.</w:t>
      </w:r>
      <w:r w:rsidR="00964CDD" w:rsidRPr="00903697">
        <w:rPr>
          <w:rFonts w:ascii="Arial" w:hAnsi="Arial" w:cs="Arial"/>
          <w:sz w:val="24"/>
          <w:szCs w:val="24"/>
          <w:shd w:val="clear" w:color="auto" w:fill="FFFFFF"/>
        </w:rPr>
        <w:t>Disponível em https://pesquisa.bvsalud.org/portal/resource/pt/lil-621295.</w:t>
      </w:r>
    </w:p>
    <w:p w14:paraId="7F755E18" w14:textId="77777777" w:rsidR="005841AC" w:rsidRPr="00A265C2" w:rsidRDefault="005841AC" w:rsidP="005841AC">
      <w:pPr>
        <w:pStyle w:val="PargrafodaLista"/>
        <w:spacing w:line="240" w:lineRule="auto"/>
        <w:ind w:left="0"/>
        <w:rPr>
          <w:rFonts w:ascii="Arial" w:hAnsi="Arial" w:cs="Arial"/>
          <w:sz w:val="24"/>
          <w:szCs w:val="24"/>
        </w:rPr>
      </w:pPr>
    </w:p>
    <w:p w14:paraId="54A7ADFD" w14:textId="77777777" w:rsidR="005841AC" w:rsidRPr="00903697" w:rsidRDefault="0093064C" w:rsidP="005841AC">
      <w:pPr>
        <w:pStyle w:val="PargrafodaLista"/>
        <w:numPr>
          <w:ilvl w:val="0"/>
          <w:numId w:val="8"/>
        </w:numPr>
        <w:spacing w:after="200" w:line="240" w:lineRule="auto"/>
        <w:ind w:left="0"/>
        <w:jc w:val="both"/>
        <w:rPr>
          <w:rFonts w:ascii="Arial" w:hAnsi="Arial" w:cs="Arial"/>
          <w:sz w:val="24"/>
          <w:szCs w:val="24"/>
        </w:rPr>
      </w:pPr>
      <w:r w:rsidRPr="00903697">
        <w:rPr>
          <w:rFonts w:ascii="Arial" w:hAnsi="Arial" w:cs="Arial"/>
          <w:sz w:val="24"/>
          <w:szCs w:val="24"/>
          <w:shd w:val="clear" w:color="auto" w:fill="FFFFFF"/>
        </w:rPr>
        <w:t xml:space="preserve">DOMINGUES, Bruno </w:t>
      </w:r>
      <w:proofErr w:type="spellStart"/>
      <w:r w:rsidRPr="00903697">
        <w:rPr>
          <w:rFonts w:ascii="Arial" w:hAnsi="Arial" w:cs="Arial"/>
          <w:sz w:val="24"/>
          <w:szCs w:val="24"/>
          <w:shd w:val="clear" w:color="auto" w:fill="FFFFFF"/>
        </w:rPr>
        <w:t>Drumond</w:t>
      </w:r>
      <w:proofErr w:type="spellEnd"/>
      <w:r w:rsidRPr="00903697">
        <w:rPr>
          <w:rFonts w:ascii="Arial" w:hAnsi="Arial" w:cs="Arial"/>
          <w:sz w:val="24"/>
          <w:szCs w:val="24"/>
          <w:shd w:val="clear" w:color="auto" w:fill="FFFFFF"/>
        </w:rPr>
        <w:t xml:space="preserve">; COTA, Gustavo Soares; SILVA, </w:t>
      </w:r>
      <w:proofErr w:type="spellStart"/>
      <w:r w:rsidRPr="00903697">
        <w:rPr>
          <w:rFonts w:ascii="Arial" w:hAnsi="Arial" w:cs="Arial"/>
          <w:sz w:val="24"/>
          <w:szCs w:val="24"/>
          <w:shd w:val="clear" w:color="auto" w:fill="FFFFFF"/>
        </w:rPr>
        <w:t>Rívia</w:t>
      </w:r>
      <w:proofErr w:type="spellEnd"/>
      <w:r w:rsidRPr="00903697">
        <w:rPr>
          <w:rFonts w:ascii="Arial" w:hAnsi="Arial" w:cs="Arial"/>
          <w:sz w:val="24"/>
          <w:szCs w:val="24"/>
          <w:shd w:val="clear" w:color="auto" w:fill="FFFFFF"/>
        </w:rPr>
        <w:t xml:space="preserve"> Mara Morais. Avaliação da resposta imunológica à vacinação para hepatite b em profissionais de laboratórios de análises clínicas no município de Timóteo/MG. </w:t>
      </w:r>
      <w:r w:rsidRPr="00903697">
        <w:rPr>
          <w:rFonts w:ascii="Arial" w:hAnsi="Arial" w:cs="Arial"/>
          <w:b/>
          <w:bCs/>
          <w:sz w:val="24"/>
          <w:szCs w:val="24"/>
          <w:shd w:val="clear" w:color="auto" w:fill="FFFFFF"/>
        </w:rPr>
        <w:t>Farmácia &amp; Ciência</w:t>
      </w:r>
      <w:r w:rsidRPr="00903697">
        <w:rPr>
          <w:rFonts w:ascii="Arial" w:hAnsi="Arial" w:cs="Arial"/>
          <w:sz w:val="24"/>
          <w:szCs w:val="24"/>
          <w:shd w:val="clear" w:color="auto" w:fill="FFFFFF"/>
        </w:rPr>
        <w:t>, v. 1, p. 41-51, 2010.</w:t>
      </w:r>
      <w:r w:rsidR="00306AC6" w:rsidRPr="00903697">
        <w:rPr>
          <w:rFonts w:ascii="Arial" w:hAnsi="Arial" w:cs="Arial"/>
          <w:sz w:val="24"/>
          <w:szCs w:val="24"/>
          <w:shd w:val="clear" w:color="auto" w:fill="FFFFFF"/>
        </w:rPr>
        <w:t xml:space="preserve"> Disponível em https://www.scielo.br/scielo.php?script=sci_nlinks&amp;pid=S1414-462X201700020019200010&amp;lng=en.</w:t>
      </w:r>
    </w:p>
    <w:p w14:paraId="3FCA92B6" w14:textId="77777777" w:rsidR="00E601F0" w:rsidRPr="00903697" w:rsidRDefault="00E601F0" w:rsidP="005841AC">
      <w:pPr>
        <w:pStyle w:val="PargrafodaLista"/>
        <w:spacing w:line="240" w:lineRule="auto"/>
        <w:ind w:left="0"/>
        <w:rPr>
          <w:rFonts w:ascii="Arial" w:hAnsi="Arial" w:cs="Arial"/>
          <w:sz w:val="24"/>
          <w:szCs w:val="24"/>
        </w:rPr>
      </w:pPr>
    </w:p>
    <w:p w14:paraId="596B14C0" w14:textId="77777777" w:rsidR="00D84194" w:rsidRPr="00A265C2" w:rsidRDefault="00D84194" w:rsidP="00D84194">
      <w:pPr>
        <w:pStyle w:val="PargrafodaLista"/>
        <w:numPr>
          <w:ilvl w:val="0"/>
          <w:numId w:val="8"/>
        </w:numPr>
        <w:spacing w:after="200" w:line="240" w:lineRule="auto"/>
        <w:ind w:left="0"/>
        <w:jc w:val="both"/>
        <w:rPr>
          <w:rFonts w:ascii="Arial" w:hAnsi="Arial" w:cs="Arial"/>
          <w:sz w:val="24"/>
          <w:szCs w:val="24"/>
        </w:rPr>
      </w:pPr>
      <w:r w:rsidRPr="00903697">
        <w:rPr>
          <w:rFonts w:ascii="Arial" w:hAnsi="Arial" w:cs="Arial"/>
          <w:sz w:val="24"/>
          <w:szCs w:val="24"/>
        </w:rPr>
        <w:t xml:space="preserve">BRASIL. Secretária de Vigilância em Saúde. Departamento de Vigilância Epidemiológica. Programa Nacional de Imunizações. Manual dos centros de referência de imunobiológicos especiais. Brasília: Ministério da Saúde, 2006. 155 </w:t>
      </w:r>
      <w:proofErr w:type="spellStart"/>
      <w:r w:rsidRPr="00903697">
        <w:rPr>
          <w:rFonts w:ascii="Arial" w:hAnsi="Arial" w:cs="Arial"/>
          <w:sz w:val="24"/>
          <w:szCs w:val="24"/>
        </w:rPr>
        <w:t>p.</w:t>
      </w:r>
      <w:r w:rsidR="00306AC6" w:rsidRPr="00903697">
        <w:rPr>
          <w:rFonts w:ascii="Arial" w:hAnsi="Arial" w:cs="Arial"/>
          <w:sz w:val="24"/>
          <w:szCs w:val="24"/>
        </w:rPr>
        <w:t>Disponível</w:t>
      </w:r>
      <w:proofErr w:type="spellEnd"/>
      <w:r w:rsidR="00306AC6" w:rsidRPr="00903697">
        <w:rPr>
          <w:rFonts w:ascii="Arial" w:hAnsi="Arial" w:cs="Arial"/>
          <w:sz w:val="24"/>
          <w:szCs w:val="24"/>
        </w:rPr>
        <w:t xml:space="preserve"> em http://portalarquivos2.saude.gov.br/images/pdf/2019/dezembro/11/manual-centros-referencia-imunobiologicos-especiais-5ed.pdf</w:t>
      </w:r>
    </w:p>
    <w:p w14:paraId="7C07F246" w14:textId="77777777" w:rsidR="0093064C" w:rsidRPr="00A265C2" w:rsidRDefault="0093064C" w:rsidP="0093064C">
      <w:pPr>
        <w:pStyle w:val="PargrafodaLista"/>
        <w:spacing w:after="200" w:line="240" w:lineRule="auto"/>
        <w:ind w:left="0"/>
        <w:jc w:val="both"/>
        <w:rPr>
          <w:rFonts w:ascii="Arial" w:hAnsi="Arial" w:cs="Arial"/>
          <w:sz w:val="24"/>
          <w:szCs w:val="24"/>
        </w:rPr>
      </w:pPr>
    </w:p>
    <w:p w14:paraId="57E6502E" w14:textId="77777777" w:rsidR="0093064C" w:rsidRPr="00903697" w:rsidRDefault="0093064C" w:rsidP="005841AC">
      <w:pPr>
        <w:pStyle w:val="PargrafodaLista"/>
        <w:numPr>
          <w:ilvl w:val="0"/>
          <w:numId w:val="8"/>
        </w:numPr>
        <w:spacing w:after="200" w:line="240" w:lineRule="auto"/>
        <w:ind w:left="0"/>
        <w:jc w:val="both"/>
        <w:rPr>
          <w:rFonts w:ascii="Arial" w:hAnsi="Arial" w:cs="Arial"/>
          <w:sz w:val="24"/>
          <w:szCs w:val="24"/>
        </w:rPr>
      </w:pPr>
      <w:r w:rsidRPr="00903697">
        <w:rPr>
          <w:rFonts w:ascii="Arial" w:hAnsi="Arial" w:cs="Arial"/>
          <w:sz w:val="24"/>
          <w:szCs w:val="24"/>
          <w:shd w:val="clear" w:color="auto" w:fill="FFFFFF"/>
        </w:rPr>
        <w:t xml:space="preserve">MARTINS, Andréa Maria Eleutério de Barros Lima; BARRETO, </w:t>
      </w:r>
      <w:proofErr w:type="spellStart"/>
      <w:r w:rsidRPr="00903697">
        <w:rPr>
          <w:rFonts w:ascii="Arial" w:hAnsi="Arial" w:cs="Arial"/>
          <w:sz w:val="24"/>
          <w:szCs w:val="24"/>
          <w:shd w:val="clear" w:color="auto" w:fill="FFFFFF"/>
        </w:rPr>
        <w:t>Sandhi</w:t>
      </w:r>
      <w:proofErr w:type="spellEnd"/>
      <w:r w:rsidRPr="00903697">
        <w:rPr>
          <w:rFonts w:ascii="Arial" w:hAnsi="Arial" w:cs="Arial"/>
          <w:sz w:val="24"/>
          <w:szCs w:val="24"/>
          <w:shd w:val="clear" w:color="auto" w:fill="FFFFFF"/>
        </w:rPr>
        <w:t xml:space="preserve"> Maria. Vacinação contra a hepatite B entre cirurgiões dentistas. </w:t>
      </w:r>
      <w:r w:rsidRPr="00903697">
        <w:rPr>
          <w:rFonts w:ascii="Arial" w:hAnsi="Arial" w:cs="Arial"/>
          <w:b/>
          <w:bCs/>
          <w:sz w:val="24"/>
          <w:szCs w:val="24"/>
          <w:shd w:val="clear" w:color="auto" w:fill="FFFFFF"/>
        </w:rPr>
        <w:t>Revista de Saúde Pública</w:t>
      </w:r>
      <w:r w:rsidRPr="00903697">
        <w:rPr>
          <w:rFonts w:ascii="Arial" w:hAnsi="Arial" w:cs="Arial"/>
          <w:sz w:val="24"/>
          <w:szCs w:val="24"/>
          <w:shd w:val="clear" w:color="auto" w:fill="FFFFFF"/>
        </w:rPr>
        <w:t>, v. 37, p. 333-338, 2003.</w:t>
      </w:r>
      <w:r w:rsidR="00306AC6" w:rsidRPr="00903697">
        <w:rPr>
          <w:rFonts w:ascii="Arial" w:hAnsi="Arial" w:cs="Arial"/>
          <w:sz w:val="24"/>
          <w:szCs w:val="24"/>
          <w:shd w:val="clear" w:color="auto" w:fill="FFFFFF"/>
        </w:rPr>
        <w:t xml:space="preserve"> Disponível em https://www.scielosp.org/article/rsp/2003.v37n3/333-338/pt/.</w:t>
      </w:r>
    </w:p>
    <w:p w14:paraId="399ECC27" w14:textId="77777777" w:rsidR="005841AC" w:rsidRPr="00903697" w:rsidRDefault="005841AC" w:rsidP="005841AC">
      <w:pPr>
        <w:pStyle w:val="PargrafodaLista"/>
        <w:spacing w:line="240" w:lineRule="auto"/>
        <w:ind w:left="0"/>
        <w:rPr>
          <w:rFonts w:ascii="Arial" w:hAnsi="Arial" w:cs="Arial"/>
          <w:sz w:val="24"/>
          <w:szCs w:val="24"/>
        </w:rPr>
      </w:pPr>
    </w:p>
    <w:p w14:paraId="1C0ACD09" w14:textId="77777777" w:rsidR="005841AC" w:rsidRPr="00903697" w:rsidRDefault="00D84194" w:rsidP="005841AC">
      <w:pPr>
        <w:pStyle w:val="PargrafodaLista"/>
        <w:numPr>
          <w:ilvl w:val="0"/>
          <w:numId w:val="8"/>
        </w:numPr>
        <w:spacing w:after="200" w:line="240" w:lineRule="auto"/>
        <w:ind w:left="0"/>
        <w:jc w:val="both"/>
        <w:rPr>
          <w:rFonts w:ascii="Arial" w:hAnsi="Arial" w:cs="Arial"/>
          <w:sz w:val="24"/>
          <w:szCs w:val="24"/>
        </w:rPr>
      </w:pPr>
      <w:r w:rsidRPr="00903697">
        <w:rPr>
          <w:rFonts w:ascii="Arial" w:hAnsi="Arial" w:cs="Arial"/>
          <w:sz w:val="24"/>
          <w:szCs w:val="24"/>
        </w:rPr>
        <w:t xml:space="preserve">AGÊNCIA NACIONAL DE VIGILÂNCIA SANITÁRIA. </w:t>
      </w:r>
      <w:r w:rsidR="00CD2292" w:rsidRPr="00CD2292">
        <w:rPr>
          <w:rFonts w:ascii="Arial" w:hAnsi="Arial" w:cs="Arial"/>
          <w:b/>
          <w:bCs/>
          <w:sz w:val="24"/>
          <w:szCs w:val="24"/>
        </w:rPr>
        <w:t>Consulta Pública nº 50 de 5 de agosto de 2004</w:t>
      </w:r>
      <w:r w:rsidRPr="00903697">
        <w:rPr>
          <w:rFonts w:ascii="Arial" w:hAnsi="Arial" w:cs="Arial"/>
          <w:sz w:val="24"/>
          <w:szCs w:val="24"/>
        </w:rPr>
        <w:t>. Diário Oficial da União, Brasília: Ministério da Saúde, 2004</w:t>
      </w:r>
      <w:r w:rsidR="00306AC6" w:rsidRPr="00903697">
        <w:rPr>
          <w:rFonts w:ascii="Arial" w:hAnsi="Arial" w:cs="Arial"/>
          <w:sz w:val="24"/>
          <w:szCs w:val="24"/>
        </w:rPr>
        <w:t xml:space="preserve"> </w:t>
      </w:r>
      <w:r w:rsidR="00306AC6" w:rsidRPr="00903697">
        <w:rPr>
          <w:rFonts w:ascii="Arial" w:hAnsi="Arial" w:cs="Arial"/>
          <w:sz w:val="24"/>
          <w:szCs w:val="24"/>
        </w:rPr>
        <w:lastRenderedPageBreak/>
        <w:t>Disponível em http://bvsms.saude.gov.br/bvs/saudelegis/anvisa/2004/rdc0220_21_09_2004.html.</w:t>
      </w:r>
    </w:p>
    <w:p w14:paraId="65689614" w14:textId="77777777" w:rsidR="00D84194" w:rsidRPr="00903697" w:rsidRDefault="00D84194" w:rsidP="005841AC">
      <w:pPr>
        <w:pStyle w:val="PargrafodaLista"/>
        <w:spacing w:line="240" w:lineRule="auto"/>
        <w:ind w:left="0"/>
        <w:rPr>
          <w:rFonts w:ascii="Arial" w:hAnsi="Arial" w:cs="Arial"/>
          <w:sz w:val="24"/>
          <w:szCs w:val="24"/>
        </w:rPr>
      </w:pPr>
    </w:p>
    <w:p w14:paraId="785265DD" w14:textId="77777777" w:rsidR="00D84194" w:rsidRPr="00903697" w:rsidRDefault="00D84194" w:rsidP="00D84194">
      <w:pPr>
        <w:pStyle w:val="PargrafodaLista"/>
        <w:numPr>
          <w:ilvl w:val="0"/>
          <w:numId w:val="8"/>
        </w:numPr>
        <w:spacing w:after="200" w:line="240" w:lineRule="auto"/>
        <w:ind w:left="0"/>
        <w:jc w:val="both"/>
        <w:rPr>
          <w:rFonts w:ascii="Arial" w:hAnsi="Arial" w:cs="Arial"/>
          <w:sz w:val="24"/>
          <w:szCs w:val="24"/>
          <w:u w:val="single"/>
        </w:rPr>
      </w:pPr>
      <w:r w:rsidRPr="00903697">
        <w:rPr>
          <w:rFonts w:ascii="Arial" w:hAnsi="Arial" w:cs="Arial"/>
          <w:sz w:val="24"/>
          <w:szCs w:val="24"/>
        </w:rPr>
        <w:t xml:space="preserve">BRASIL. </w:t>
      </w:r>
      <w:r w:rsidR="00CD2292" w:rsidRPr="00CD2292">
        <w:rPr>
          <w:rFonts w:ascii="Arial" w:hAnsi="Arial" w:cs="Arial"/>
          <w:b/>
          <w:bCs/>
          <w:sz w:val="24"/>
          <w:szCs w:val="24"/>
        </w:rPr>
        <w:t>Norma Regulamentadora N° 32</w:t>
      </w:r>
      <w:r w:rsidRPr="00903697">
        <w:rPr>
          <w:rFonts w:ascii="Arial" w:hAnsi="Arial" w:cs="Arial"/>
          <w:sz w:val="24"/>
          <w:szCs w:val="24"/>
        </w:rPr>
        <w:t xml:space="preserve"> - Segurança e Saúde no Trabalho em Serviços de Saúde. Disponível em: </w:t>
      </w:r>
      <w:hyperlink r:id="rId13" w:history="1">
        <w:r w:rsidRPr="00903697">
          <w:rPr>
            <w:rStyle w:val="Hyperlink"/>
            <w:rFonts w:ascii="Arial" w:hAnsi="Arial" w:cs="Arial"/>
            <w:color w:val="auto"/>
            <w:sz w:val="24"/>
            <w:szCs w:val="24"/>
          </w:rPr>
          <w:t>http://www.trabalho.gov.br/images/Documentos/SST/NR/NR32.pdf</w:t>
        </w:r>
      </w:hyperlink>
      <w:r w:rsidRPr="00903697">
        <w:rPr>
          <w:rFonts w:ascii="Arial" w:hAnsi="Arial" w:cs="Arial"/>
          <w:sz w:val="24"/>
          <w:szCs w:val="24"/>
        </w:rPr>
        <w:t>.</w:t>
      </w:r>
    </w:p>
    <w:p w14:paraId="0C1ABF02" w14:textId="77777777" w:rsidR="005841AC" w:rsidRPr="00903697" w:rsidRDefault="005841AC" w:rsidP="005841AC">
      <w:pPr>
        <w:pStyle w:val="PargrafodaLista"/>
        <w:spacing w:line="240" w:lineRule="auto"/>
        <w:ind w:left="0"/>
        <w:rPr>
          <w:rStyle w:val="Hyperlink"/>
          <w:rFonts w:ascii="Arial" w:hAnsi="Arial" w:cs="Arial"/>
          <w:color w:val="auto"/>
          <w:sz w:val="24"/>
          <w:szCs w:val="24"/>
        </w:rPr>
      </w:pPr>
    </w:p>
    <w:p w14:paraId="791E5C9B" w14:textId="77777777" w:rsidR="00D84194" w:rsidRPr="00903697" w:rsidRDefault="00CD2292" w:rsidP="00D84194">
      <w:pPr>
        <w:pStyle w:val="PargrafodaLista"/>
        <w:numPr>
          <w:ilvl w:val="0"/>
          <w:numId w:val="8"/>
        </w:numPr>
        <w:spacing w:after="200" w:line="240" w:lineRule="auto"/>
        <w:ind w:left="0"/>
        <w:jc w:val="both"/>
        <w:rPr>
          <w:rFonts w:ascii="Arial" w:hAnsi="Arial" w:cs="Arial"/>
          <w:sz w:val="24"/>
          <w:szCs w:val="24"/>
        </w:rPr>
      </w:pPr>
      <w:r w:rsidRPr="00CD2292">
        <w:rPr>
          <w:rFonts w:ascii="Arial" w:hAnsi="Arial" w:cs="Arial"/>
          <w:sz w:val="24"/>
          <w:szCs w:val="24"/>
        </w:rPr>
        <w:t xml:space="preserve">BRASIL. Secretária de Vigilância em Saúde. </w:t>
      </w:r>
      <w:r w:rsidRPr="00CD2292">
        <w:rPr>
          <w:rFonts w:ascii="Arial" w:hAnsi="Arial" w:cs="Arial"/>
          <w:b/>
          <w:bCs/>
          <w:sz w:val="24"/>
          <w:szCs w:val="24"/>
        </w:rPr>
        <w:t>Exposição a materiais biológicos, Saúde do Trabalhador, Protocolos de Complexidade Diferenciada</w:t>
      </w:r>
      <w:r w:rsidR="00D84194" w:rsidRPr="00903697">
        <w:rPr>
          <w:rFonts w:ascii="Arial" w:hAnsi="Arial" w:cs="Arial"/>
          <w:sz w:val="24"/>
          <w:szCs w:val="24"/>
        </w:rPr>
        <w:t>, Série A: Normas e Manuais Técnicos. Brasília: Ministério da Saúde, 2011. 72 p.</w:t>
      </w:r>
      <w:r w:rsidR="000949D4" w:rsidRPr="00903697">
        <w:rPr>
          <w:rFonts w:ascii="Arial" w:hAnsi="Arial" w:cs="Arial"/>
          <w:sz w:val="24"/>
          <w:szCs w:val="24"/>
        </w:rPr>
        <w:t xml:space="preserve"> Disponível em http://bvsms.saude.gov.br/bvs/publicacoes/protocolo_expos_mat_biologicos.pdf.</w:t>
      </w:r>
    </w:p>
    <w:p w14:paraId="1CD39EF2" w14:textId="77777777" w:rsidR="0093064C" w:rsidRPr="00A265C2" w:rsidRDefault="0093064C" w:rsidP="0093064C">
      <w:pPr>
        <w:pStyle w:val="PargrafodaLista"/>
        <w:rPr>
          <w:rFonts w:ascii="Arial" w:hAnsi="Arial" w:cs="Arial"/>
          <w:sz w:val="24"/>
          <w:szCs w:val="24"/>
        </w:rPr>
      </w:pPr>
    </w:p>
    <w:p w14:paraId="7D856E78" w14:textId="77777777" w:rsidR="0093064C" w:rsidRPr="00886538" w:rsidRDefault="00CD2292" w:rsidP="005841AC">
      <w:pPr>
        <w:pStyle w:val="PargrafodaLista"/>
        <w:numPr>
          <w:ilvl w:val="0"/>
          <w:numId w:val="8"/>
        </w:numPr>
        <w:autoSpaceDE w:val="0"/>
        <w:autoSpaceDN w:val="0"/>
        <w:adjustRightInd w:val="0"/>
        <w:spacing w:after="0" w:line="240" w:lineRule="auto"/>
        <w:ind w:left="0"/>
        <w:jc w:val="both"/>
        <w:rPr>
          <w:rFonts w:ascii="Arial" w:hAnsi="Arial" w:cs="Arial"/>
          <w:sz w:val="24"/>
          <w:szCs w:val="24"/>
          <w:lang w:val="en-US"/>
        </w:rPr>
      </w:pPr>
      <w:r w:rsidRPr="00CD2292">
        <w:rPr>
          <w:rFonts w:ascii="Arial" w:hAnsi="Arial" w:cs="Arial"/>
          <w:sz w:val="24"/>
          <w:szCs w:val="24"/>
          <w:shd w:val="clear" w:color="auto" w:fill="FFFFFF"/>
          <w:lang w:val="en-US"/>
        </w:rPr>
        <w:t xml:space="preserve">TAHERI, </w:t>
      </w:r>
      <w:proofErr w:type="spellStart"/>
      <w:r w:rsidRPr="00CD2292">
        <w:rPr>
          <w:rFonts w:ascii="Arial" w:hAnsi="Arial" w:cs="Arial"/>
          <w:sz w:val="24"/>
          <w:szCs w:val="24"/>
          <w:shd w:val="clear" w:color="auto" w:fill="FFFFFF"/>
          <w:lang w:val="en-US"/>
        </w:rPr>
        <w:t>Sh</w:t>
      </w:r>
      <w:proofErr w:type="spellEnd"/>
      <w:r w:rsidRPr="00CD2292">
        <w:rPr>
          <w:rFonts w:ascii="Arial" w:hAnsi="Arial" w:cs="Arial"/>
          <w:sz w:val="24"/>
          <w:szCs w:val="24"/>
          <w:shd w:val="clear" w:color="auto" w:fill="FFFFFF"/>
          <w:lang w:val="en-US"/>
        </w:rPr>
        <w:t xml:space="preserve"> et al. Response rate to hepatitis B vaccination in patients with chronic renal failure and end-stage-renal-disease: Influence of diabetes mellitus</w:t>
      </w:r>
      <w:r w:rsidR="00903697" w:rsidRPr="00903697">
        <w:rPr>
          <w:rFonts w:ascii="Arial" w:hAnsi="Arial" w:cs="Arial"/>
          <w:sz w:val="24"/>
          <w:szCs w:val="24"/>
          <w:shd w:val="clear" w:color="auto" w:fill="FFFFFF"/>
          <w:lang w:val="en-US"/>
        </w:rPr>
        <w:t xml:space="preserve"> v 10,n 6 p 384-390,</w:t>
      </w:r>
      <w:r w:rsidRPr="00CD2292">
        <w:rPr>
          <w:rFonts w:ascii="Arial" w:hAnsi="Arial" w:cs="Arial"/>
          <w:sz w:val="24"/>
          <w:szCs w:val="24"/>
          <w:shd w:val="clear" w:color="auto" w:fill="FFFFFF"/>
          <w:lang w:val="en-US"/>
        </w:rPr>
        <w:t>2005.</w:t>
      </w:r>
      <w:r w:rsidRPr="00886538">
        <w:rPr>
          <w:rFonts w:ascii="Arial" w:hAnsi="Arial" w:cs="Arial"/>
          <w:sz w:val="24"/>
          <w:szCs w:val="24"/>
          <w:shd w:val="clear" w:color="auto" w:fill="FFFFFF"/>
          <w:lang w:val="en-US"/>
        </w:rPr>
        <w:t xml:space="preserve">Disponível </w:t>
      </w:r>
      <w:proofErr w:type="spellStart"/>
      <w:r w:rsidRPr="00886538">
        <w:rPr>
          <w:rFonts w:ascii="Arial" w:hAnsi="Arial" w:cs="Arial"/>
          <w:sz w:val="24"/>
          <w:szCs w:val="24"/>
          <w:shd w:val="clear" w:color="auto" w:fill="FFFFFF"/>
          <w:lang w:val="en-US"/>
        </w:rPr>
        <w:t>em</w:t>
      </w:r>
      <w:proofErr w:type="spellEnd"/>
      <w:r w:rsidRPr="00886538">
        <w:rPr>
          <w:rFonts w:ascii="Arial" w:hAnsi="Arial" w:cs="Arial"/>
          <w:sz w:val="24"/>
          <w:szCs w:val="24"/>
          <w:shd w:val="clear" w:color="auto" w:fill="FFFFFF"/>
          <w:lang w:val="en-US"/>
        </w:rPr>
        <w:t xml:space="preserve"> https://www.sid.ir/en/journal/ViewPaper.aspx?ID=49945</w:t>
      </w:r>
    </w:p>
    <w:p w14:paraId="02EBF985" w14:textId="77777777" w:rsidR="0093064C" w:rsidRPr="00886538" w:rsidRDefault="0093064C" w:rsidP="0093064C">
      <w:pPr>
        <w:rPr>
          <w:rFonts w:ascii="Arial" w:hAnsi="Arial" w:cs="Arial"/>
          <w:sz w:val="24"/>
          <w:szCs w:val="24"/>
          <w:lang w:val="en-US"/>
        </w:rPr>
      </w:pPr>
    </w:p>
    <w:p w14:paraId="31D0039D" w14:textId="77777777" w:rsidR="0093064C" w:rsidRPr="00A265C2" w:rsidRDefault="0093064C" w:rsidP="005841AC">
      <w:pPr>
        <w:pStyle w:val="PargrafodaLista"/>
        <w:numPr>
          <w:ilvl w:val="0"/>
          <w:numId w:val="8"/>
        </w:numPr>
        <w:autoSpaceDE w:val="0"/>
        <w:autoSpaceDN w:val="0"/>
        <w:adjustRightInd w:val="0"/>
        <w:spacing w:after="0" w:line="240" w:lineRule="auto"/>
        <w:ind w:left="0"/>
        <w:jc w:val="both"/>
        <w:rPr>
          <w:rFonts w:ascii="Arial" w:hAnsi="Arial" w:cs="Arial"/>
          <w:sz w:val="24"/>
          <w:szCs w:val="24"/>
        </w:rPr>
      </w:pPr>
      <w:r w:rsidRPr="00903697">
        <w:rPr>
          <w:rFonts w:ascii="Arial" w:hAnsi="Arial" w:cs="Arial"/>
          <w:sz w:val="24"/>
          <w:szCs w:val="24"/>
          <w:shd w:val="clear" w:color="auto" w:fill="FFFFFF"/>
        </w:rPr>
        <w:t xml:space="preserve">CHAVES, Sandra S. et al. </w:t>
      </w:r>
      <w:r w:rsidR="00CD2292" w:rsidRPr="00CD2292">
        <w:rPr>
          <w:rFonts w:ascii="Arial" w:hAnsi="Arial" w:cs="Arial"/>
          <w:sz w:val="24"/>
          <w:szCs w:val="24"/>
          <w:shd w:val="clear" w:color="auto" w:fill="FFFFFF"/>
          <w:lang w:val="en-US"/>
        </w:rPr>
        <w:t>Immunogenicity of hepatitis B vaccine among hemodialysis patients: effect of revaccination of non-responders and duration of protection. </w:t>
      </w:r>
      <w:proofErr w:type="spellStart"/>
      <w:r w:rsidRPr="00903697">
        <w:rPr>
          <w:rFonts w:ascii="Arial" w:hAnsi="Arial" w:cs="Arial"/>
          <w:b/>
          <w:bCs/>
          <w:sz w:val="24"/>
          <w:szCs w:val="24"/>
          <w:shd w:val="clear" w:color="auto" w:fill="FFFFFF"/>
        </w:rPr>
        <w:t>Vaccine</w:t>
      </w:r>
      <w:proofErr w:type="spellEnd"/>
      <w:r w:rsidRPr="00903697">
        <w:rPr>
          <w:rFonts w:ascii="Arial" w:hAnsi="Arial" w:cs="Arial"/>
          <w:sz w:val="24"/>
          <w:szCs w:val="24"/>
          <w:shd w:val="clear" w:color="auto" w:fill="FFFFFF"/>
        </w:rPr>
        <w:t>, v. 29, n. 52, p. 9618-9623, 2011.</w:t>
      </w:r>
      <w:r w:rsidR="00903697" w:rsidRPr="00903697">
        <w:rPr>
          <w:rFonts w:ascii="Arial" w:hAnsi="Arial" w:cs="Arial"/>
          <w:sz w:val="24"/>
          <w:szCs w:val="24"/>
          <w:shd w:val="clear" w:color="auto" w:fill="FFFFFF"/>
        </w:rPr>
        <w:t xml:space="preserve"> Disponível em https://www.sciencedirect.com/science/article/pii/S0264410X1101694X</w:t>
      </w:r>
    </w:p>
    <w:p w14:paraId="14275C88" w14:textId="77777777" w:rsidR="005841AC" w:rsidRPr="00A265C2" w:rsidRDefault="005841AC" w:rsidP="005841AC">
      <w:pPr>
        <w:pStyle w:val="PargrafodaLista"/>
        <w:spacing w:line="240" w:lineRule="auto"/>
        <w:ind w:left="0"/>
        <w:rPr>
          <w:rStyle w:val="Hyperlink"/>
          <w:rFonts w:ascii="Arial" w:hAnsi="Arial" w:cs="Arial"/>
          <w:color w:val="auto"/>
          <w:sz w:val="24"/>
          <w:szCs w:val="24"/>
        </w:rPr>
      </w:pPr>
    </w:p>
    <w:p w14:paraId="45158441" w14:textId="77777777" w:rsidR="005841AC" w:rsidRPr="00886538" w:rsidRDefault="00CD2292" w:rsidP="005841AC">
      <w:pPr>
        <w:pStyle w:val="PargrafodaLista"/>
        <w:numPr>
          <w:ilvl w:val="0"/>
          <w:numId w:val="8"/>
        </w:numPr>
        <w:autoSpaceDE w:val="0"/>
        <w:autoSpaceDN w:val="0"/>
        <w:adjustRightInd w:val="0"/>
        <w:spacing w:after="0" w:line="240" w:lineRule="auto"/>
        <w:ind w:left="0"/>
        <w:jc w:val="both"/>
        <w:rPr>
          <w:rFonts w:ascii="Arial" w:hAnsi="Arial" w:cs="Arial"/>
          <w:sz w:val="24"/>
          <w:szCs w:val="24"/>
        </w:rPr>
      </w:pPr>
      <w:r w:rsidRPr="00CD2292">
        <w:rPr>
          <w:rFonts w:ascii="Arial" w:hAnsi="Arial" w:cs="Arial"/>
          <w:sz w:val="24"/>
          <w:szCs w:val="24"/>
          <w:shd w:val="clear" w:color="auto" w:fill="FFFFFF"/>
          <w:lang w:val="en-US"/>
        </w:rPr>
        <w:t>PLOTKIN, Stanley A. Correlates of protection induced by vaccination. </w:t>
      </w:r>
      <w:proofErr w:type="spellStart"/>
      <w:r w:rsidR="00874BDC" w:rsidRPr="00903697">
        <w:rPr>
          <w:rFonts w:ascii="Arial" w:hAnsi="Arial" w:cs="Arial"/>
          <w:b/>
          <w:bCs/>
          <w:sz w:val="24"/>
          <w:szCs w:val="24"/>
          <w:shd w:val="clear" w:color="auto" w:fill="FFFFFF"/>
        </w:rPr>
        <w:t>Clinicalandvaccineimmunology</w:t>
      </w:r>
      <w:proofErr w:type="spellEnd"/>
      <w:r w:rsidR="00874BDC" w:rsidRPr="00903697">
        <w:rPr>
          <w:rFonts w:ascii="Arial" w:hAnsi="Arial" w:cs="Arial"/>
          <w:sz w:val="24"/>
          <w:szCs w:val="24"/>
          <w:shd w:val="clear" w:color="auto" w:fill="FFFFFF"/>
        </w:rPr>
        <w:t xml:space="preserve">, v. 17, n. 7, p. 1055-1065, </w:t>
      </w:r>
      <w:proofErr w:type="gramStart"/>
      <w:r w:rsidR="00874BDC" w:rsidRPr="00903697">
        <w:rPr>
          <w:rFonts w:ascii="Arial" w:hAnsi="Arial" w:cs="Arial"/>
          <w:sz w:val="24"/>
          <w:szCs w:val="24"/>
          <w:shd w:val="clear" w:color="auto" w:fill="FFFFFF"/>
        </w:rPr>
        <w:t>2010.</w:t>
      </w:r>
      <w:r w:rsidR="005841AC" w:rsidRPr="00886538">
        <w:rPr>
          <w:rFonts w:ascii="Arial" w:hAnsi="Arial" w:cs="Arial"/>
          <w:sz w:val="24"/>
          <w:szCs w:val="24"/>
        </w:rPr>
        <w:t>.</w:t>
      </w:r>
      <w:proofErr w:type="gramEnd"/>
      <w:r w:rsidR="00903697" w:rsidRPr="00886538">
        <w:rPr>
          <w:rFonts w:ascii="Arial" w:hAnsi="Arial" w:cs="Arial"/>
          <w:sz w:val="24"/>
          <w:szCs w:val="24"/>
        </w:rPr>
        <w:t>Disponívelem https://cvi.asm.org/content/17/7/1055.short.</w:t>
      </w:r>
    </w:p>
    <w:p w14:paraId="657F89F4" w14:textId="77777777" w:rsidR="005841AC" w:rsidRPr="00886538" w:rsidRDefault="005841AC" w:rsidP="005841AC">
      <w:pPr>
        <w:pStyle w:val="PargrafodaLista"/>
        <w:spacing w:line="240" w:lineRule="auto"/>
        <w:ind w:left="0"/>
        <w:jc w:val="center"/>
        <w:rPr>
          <w:rFonts w:ascii="Arial" w:hAnsi="Arial" w:cs="Arial"/>
          <w:sz w:val="24"/>
          <w:szCs w:val="24"/>
        </w:rPr>
      </w:pPr>
    </w:p>
    <w:p w14:paraId="68DC3566" w14:textId="1C2141CF" w:rsidR="005841AC" w:rsidRDefault="005841AC" w:rsidP="005841AC">
      <w:pPr>
        <w:pStyle w:val="PargrafodaLista"/>
        <w:spacing w:line="240" w:lineRule="auto"/>
        <w:ind w:left="0"/>
        <w:jc w:val="both"/>
        <w:rPr>
          <w:rFonts w:ascii="Arial" w:hAnsi="Arial" w:cs="Arial"/>
          <w:sz w:val="24"/>
          <w:szCs w:val="24"/>
        </w:rPr>
      </w:pPr>
    </w:p>
    <w:p w14:paraId="42E65D8B" w14:textId="1A9F7D72" w:rsidR="0054006E" w:rsidRDefault="0054006E" w:rsidP="005841AC">
      <w:pPr>
        <w:pStyle w:val="PargrafodaLista"/>
        <w:spacing w:line="240" w:lineRule="auto"/>
        <w:ind w:left="0"/>
        <w:jc w:val="both"/>
        <w:rPr>
          <w:rFonts w:ascii="Arial" w:hAnsi="Arial" w:cs="Arial"/>
          <w:sz w:val="24"/>
          <w:szCs w:val="24"/>
        </w:rPr>
      </w:pPr>
    </w:p>
    <w:p w14:paraId="739C3569" w14:textId="4AB9E36C" w:rsidR="0054006E" w:rsidRDefault="0054006E" w:rsidP="005841AC">
      <w:pPr>
        <w:pStyle w:val="PargrafodaLista"/>
        <w:spacing w:line="240" w:lineRule="auto"/>
        <w:ind w:left="0"/>
        <w:jc w:val="both"/>
        <w:rPr>
          <w:rFonts w:ascii="Arial" w:hAnsi="Arial" w:cs="Arial"/>
          <w:sz w:val="24"/>
          <w:szCs w:val="24"/>
        </w:rPr>
      </w:pPr>
    </w:p>
    <w:p w14:paraId="58567DD3" w14:textId="0925EE75" w:rsidR="0054006E" w:rsidRDefault="0054006E" w:rsidP="005841AC">
      <w:pPr>
        <w:pStyle w:val="PargrafodaLista"/>
        <w:spacing w:line="240" w:lineRule="auto"/>
        <w:ind w:left="0"/>
        <w:jc w:val="both"/>
        <w:rPr>
          <w:rFonts w:ascii="Arial" w:hAnsi="Arial" w:cs="Arial"/>
          <w:sz w:val="24"/>
          <w:szCs w:val="24"/>
        </w:rPr>
      </w:pPr>
    </w:p>
    <w:p w14:paraId="0F39BA13" w14:textId="34A42DE4" w:rsidR="0054006E" w:rsidRDefault="0054006E" w:rsidP="005841AC">
      <w:pPr>
        <w:pStyle w:val="PargrafodaLista"/>
        <w:spacing w:line="240" w:lineRule="auto"/>
        <w:ind w:left="0"/>
        <w:jc w:val="both"/>
        <w:rPr>
          <w:rFonts w:ascii="Arial" w:hAnsi="Arial" w:cs="Arial"/>
          <w:sz w:val="24"/>
          <w:szCs w:val="24"/>
        </w:rPr>
      </w:pPr>
    </w:p>
    <w:p w14:paraId="19814624" w14:textId="0F6CA368" w:rsidR="0054006E" w:rsidRDefault="0054006E" w:rsidP="005841AC">
      <w:pPr>
        <w:pStyle w:val="PargrafodaLista"/>
        <w:spacing w:line="240" w:lineRule="auto"/>
        <w:ind w:left="0"/>
        <w:jc w:val="both"/>
        <w:rPr>
          <w:rFonts w:ascii="Arial" w:hAnsi="Arial" w:cs="Arial"/>
          <w:sz w:val="24"/>
          <w:szCs w:val="24"/>
        </w:rPr>
      </w:pPr>
    </w:p>
    <w:p w14:paraId="55C57577" w14:textId="13384846" w:rsidR="0054006E" w:rsidRDefault="0054006E" w:rsidP="005841AC">
      <w:pPr>
        <w:pStyle w:val="PargrafodaLista"/>
        <w:spacing w:line="240" w:lineRule="auto"/>
        <w:ind w:left="0"/>
        <w:jc w:val="both"/>
        <w:rPr>
          <w:rFonts w:ascii="Arial" w:hAnsi="Arial" w:cs="Arial"/>
          <w:sz w:val="24"/>
          <w:szCs w:val="24"/>
        </w:rPr>
      </w:pPr>
    </w:p>
    <w:p w14:paraId="71396A70" w14:textId="42B52FB1" w:rsidR="0054006E" w:rsidRDefault="0054006E" w:rsidP="005841AC">
      <w:pPr>
        <w:pStyle w:val="PargrafodaLista"/>
        <w:spacing w:line="240" w:lineRule="auto"/>
        <w:ind w:left="0"/>
        <w:jc w:val="both"/>
        <w:rPr>
          <w:rFonts w:ascii="Arial" w:hAnsi="Arial" w:cs="Arial"/>
          <w:sz w:val="24"/>
          <w:szCs w:val="24"/>
        </w:rPr>
      </w:pPr>
    </w:p>
    <w:p w14:paraId="3BF36D72" w14:textId="04BA8795" w:rsidR="0054006E" w:rsidRDefault="0054006E" w:rsidP="005841AC">
      <w:pPr>
        <w:pStyle w:val="PargrafodaLista"/>
        <w:spacing w:line="240" w:lineRule="auto"/>
        <w:ind w:left="0"/>
        <w:jc w:val="both"/>
        <w:rPr>
          <w:rFonts w:ascii="Arial" w:hAnsi="Arial" w:cs="Arial"/>
          <w:sz w:val="24"/>
          <w:szCs w:val="24"/>
        </w:rPr>
      </w:pPr>
    </w:p>
    <w:p w14:paraId="02F01874" w14:textId="4FE6CBE4" w:rsidR="0054006E" w:rsidRDefault="0054006E" w:rsidP="005841AC">
      <w:pPr>
        <w:pStyle w:val="PargrafodaLista"/>
        <w:spacing w:line="240" w:lineRule="auto"/>
        <w:ind w:left="0"/>
        <w:jc w:val="both"/>
        <w:rPr>
          <w:rFonts w:ascii="Arial" w:hAnsi="Arial" w:cs="Arial"/>
          <w:sz w:val="24"/>
          <w:szCs w:val="24"/>
        </w:rPr>
      </w:pPr>
    </w:p>
    <w:p w14:paraId="6428DB0C" w14:textId="0E683773" w:rsidR="0054006E" w:rsidRDefault="0054006E" w:rsidP="005841AC">
      <w:pPr>
        <w:pStyle w:val="PargrafodaLista"/>
        <w:spacing w:line="240" w:lineRule="auto"/>
        <w:ind w:left="0"/>
        <w:jc w:val="both"/>
        <w:rPr>
          <w:rFonts w:ascii="Arial" w:hAnsi="Arial" w:cs="Arial"/>
          <w:sz w:val="24"/>
          <w:szCs w:val="24"/>
        </w:rPr>
      </w:pPr>
    </w:p>
    <w:p w14:paraId="4F23F352" w14:textId="313A61A3" w:rsidR="0054006E" w:rsidRDefault="0054006E" w:rsidP="005841AC">
      <w:pPr>
        <w:pStyle w:val="PargrafodaLista"/>
        <w:spacing w:line="240" w:lineRule="auto"/>
        <w:ind w:left="0"/>
        <w:jc w:val="both"/>
        <w:rPr>
          <w:rFonts w:ascii="Arial" w:hAnsi="Arial" w:cs="Arial"/>
          <w:sz w:val="24"/>
          <w:szCs w:val="24"/>
        </w:rPr>
      </w:pPr>
    </w:p>
    <w:p w14:paraId="27C083AE" w14:textId="1F887F68" w:rsidR="0054006E" w:rsidRDefault="0054006E" w:rsidP="005841AC">
      <w:pPr>
        <w:pStyle w:val="PargrafodaLista"/>
        <w:spacing w:line="240" w:lineRule="auto"/>
        <w:ind w:left="0"/>
        <w:jc w:val="both"/>
        <w:rPr>
          <w:rFonts w:ascii="Arial" w:hAnsi="Arial" w:cs="Arial"/>
          <w:sz w:val="24"/>
          <w:szCs w:val="24"/>
        </w:rPr>
      </w:pPr>
    </w:p>
    <w:p w14:paraId="528C8069" w14:textId="73272EDB" w:rsidR="0054006E" w:rsidRDefault="0054006E" w:rsidP="005841AC">
      <w:pPr>
        <w:pStyle w:val="PargrafodaLista"/>
        <w:spacing w:line="240" w:lineRule="auto"/>
        <w:ind w:left="0"/>
        <w:jc w:val="both"/>
        <w:rPr>
          <w:rFonts w:ascii="Arial" w:hAnsi="Arial" w:cs="Arial"/>
          <w:sz w:val="24"/>
          <w:szCs w:val="24"/>
        </w:rPr>
      </w:pPr>
    </w:p>
    <w:p w14:paraId="413D8B48" w14:textId="71152F95" w:rsidR="0054006E" w:rsidRDefault="0054006E" w:rsidP="005841AC">
      <w:pPr>
        <w:pStyle w:val="PargrafodaLista"/>
        <w:spacing w:line="240" w:lineRule="auto"/>
        <w:ind w:left="0"/>
        <w:jc w:val="both"/>
        <w:rPr>
          <w:rFonts w:ascii="Arial" w:hAnsi="Arial" w:cs="Arial"/>
          <w:sz w:val="24"/>
          <w:szCs w:val="24"/>
        </w:rPr>
      </w:pPr>
    </w:p>
    <w:p w14:paraId="54CF4C95" w14:textId="2FB9C7DF" w:rsidR="0054006E" w:rsidRDefault="0054006E" w:rsidP="005841AC">
      <w:pPr>
        <w:pStyle w:val="PargrafodaLista"/>
        <w:spacing w:line="240" w:lineRule="auto"/>
        <w:ind w:left="0"/>
        <w:jc w:val="both"/>
        <w:rPr>
          <w:rFonts w:ascii="Arial" w:hAnsi="Arial" w:cs="Arial"/>
          <w:sz w:val="24"/>
          <w:szCs w:val="24"/>
        </w:rPr>
      </w:pPr>
    </w:p>
    <w:p w14:paraId="05358464" w14:textId="7124A3A7" w:rsidR="0054006E" w:rsidRDefault="0054006E" w:rsidP="005841AC">
      <w:pPr>
        <w:pStyle w:val="PargrafodaLista"/>
        <w:spacing w:line="240" w:lineRule="auto"/>
        <w:ind w:left="0"/>
        <w:jc w:val="both"/>
        <w:rPr>
          <w:rFonts w:ascii="Arial" w:hAnsi="Arial" w:cs="Arial"/>
          <w:sz w:val="24"/>
          <w:szCs w:val="24"/>
        </w:rPr>
      </w:pPr>
    </w:p>
    <w:p w14:paraId="25A727C5" w14:textId="18AD6BD6" w:rsidR="0054006E" w:rsidRDefault="0054006E" w:rsidP="005841AC">
      <w:pPr>
        <w:pStyle w:val="PargrafodaLista"/>
        <w:spacing w:line="240" w:lineRule="auto"/>
        <w:ind w:left="0"/>
        <w:jc w:val="both"/>
        <w:rPr>
          <w:rFonts w:ascii="Arial" w:hAnsi="Arial" w:cs="Arial"/>
          <w:sz w:val="24"/>
          <w:szCs w:val="24"/>
        </w:rPr>
      </w:pPr>
    </w:p>
    <w:p w14:paraId="500EBE38" w14:textId="60A43D23" w:rsidR="0054006E" w:rsidRDefault="0054006E" w:rsidP="005841AC">
      <w:pPr>
        <w:pStyle w:val="PargrafodaLista"/>
        <w:spacing w:line="240" w:lineRule="auto"/>
        <w:ind w:left="0"/>
        <w:jc w:val="both"/>
        <w:rPr>
          <w:rFonts w:ascii="Arial" w:hAnsi="Arial" w:cs="Arial"/>
          <w:sz w:val="24"/>
          <w:szCs w:val="24"/>
        </w:rPr>
      </w:pPr>
    </w:p>
    <w:p w14:paraId="17CA5CE8" w14:textId="495AE70E" w:rsidR="0054006E" w:rsidRDefault="0054006E" w:rsidP="005841AC">
      <w:pPr>
        <w:pStyle w:val="PargrafodaLista"/>
        <w:spacing w:line="240" w:lineRule="auto"/>
        <w:ind w:left="0"/>
        <w:jc w:val="both"/>
        <w:rPr>
          <w:rFonts w:ascii="Arial" w:hAnsi="Arial" w:cs="Arial"/>
          <w:sz w:val="24"/>
          <w:szCs w:val="24"/>
        </w:rPr>
      </w:pPr>
    </w:p>
    <w:p w14:paraId="3F5ED575" w14:textId="342FCD62" w:rsidR="0054006E" w:rsidRDefault="0054006E" w:rsidP="005841AC">
      <w:pPr>
        <w:pStyle w:val="PargrafodaLista"/>
        <w:spacing w:line="240" w:lineRule="auto"/>
        <w:ind w:left="0"/>
        <w:jc w:val="both"/>
        <w:rPr>
          <w:rFonts w:ascii="Arial" w:hAnsi="Arial" w:cs="Arial"/>
          <w:sz w:val="24"/>
          <w:szCs w:val="24"/>
        </w:rPr>
      </w:pPr>
    </w:p>
    <w:p w14:paraId="28E70750" w14:textId="42105251" w:rsidR="0054006E" w:rsidRDefault="0054006E" w:rsidP="005841AC">
      <w:pPr>
        <w:pStyle w:val="PargrafodaLista"/>
        <w:spacing w:line="240" w:lineRule="auto"/>
        <w:ind w:left="0"/>
        <w:jc w:val="both"/>
        <w:rPr>
          <w:rFonts w:ascii="Arial" w:hAnsi="Arial" w:cs="Arial"/>
          <w:sz w:val="24"/>
          <w:szCs w:val="24"/>
        </w:rPr>
      </w:pPr>
    </w:p>
    <w:p w14:paraId="0732C77E" w14:textId="421BECFD" w:rsidR="0054006E" w:rsidRDefault="0054006E" w:rsidP="005841AC">
      <w:pPr>
        <w:pStyle w:val="PargrafodaLista"/>
        <w:spacing w:line="240" w:lineRule="auto"/>
        <w:ind w:left="0"/>
        <w:jc w:val="both"/>
        <w:rPr>
          <w:rFonts w:ascii="Arial" w:hAnsi="Arial" w:cs="Arial"/>
          <w:sz w:val="24"/>
          <w:szCs w:val="24"/>
        </w:rPr>
      </w:pPr>
    </w:p>
    <w:p w14:paraId="445F72F0" w14:textId="1CC9308A" w:rsidR="0054006E" w:rsidRDefault="0054006E" w:rsidP="005841AC">
      <w:pPr>
        <w:pStyle w:val="PargrafodaLista"/>
        <w:spacing w:line="240" w:lineRule="auto"/>
        <w:ind w:left="0"/>
        <w:jc w:val="both"/>
        <w:rPr>
          <w:rFonts w:ascii="Arial" w:hAnsi="Arial" w:cs="Arial"/>
          <w:sz w:val="24"/>
          <w:szCs w:val="24"/>
        </w:rPr>
      </w:pPr>
    </w:p>
    <w:p w14:paraId="6D57DF51" w14:textId="5F1F27AD" w:rsidR="0054006E" w:rsidRDefault="0054006E" w:rsidP="005841AC">
      <w:pPr>
        <w:pStyle w:val="PargrafodaLista"/>
        <w:spacing w:line="240" w:lineRule="auto"/>
        <w:ind w:left="0"/>
        <w:jc w:val="both"/>
        <w:rPr>
          <w:rFonts w:ascii="Arial" w:hAnsi="Arial" w:cs="Arial"/>
          <w:sz w:val="24"/>
          <w:szCs w:val="24"/>
        </w:rPr>
      </w:pPr>
    </w:p>
    <w:p w14:paraId="4941FE6D" w14:textId="28B9B158" w:rsidR="0054006E" w:rsidRDefault="0054006E" w:rsidP="005841AC">
      <w:pPr>
        <w:pStyle w:val="PargrafodaLista"/>
        <w:spacing w:line="240" w:lineRule="auto"/>
        <w:ind w:left="0"/>
        <w:jc w:val="both"/>
        <w:rPr>
          <w:rFonts w:ascii="Arial" w:hAnsi="Arial" w:cs="Arial"/>
          <w:sz w:val="24"/>
          <w:szCs w:val="24"/>
        </w:rPr>
      </w:pPr>
      <w:r>
        <w:rPr>
          <w:rFonts w:ascii="Arial" w:hAnsi="Arial" w:cs="Arial"/>
          <w:sz w:val="24"/>
          <w:szCs w:val="24"/>
        </w:rPr>
        <w:lastRenderedPageBreak/>
        <w:t xml:space="preserve">Anexo </w:t>
      </w:r>
    </w:p>
    <w:p w14:paraId="071C917A" w14:textId="1C1ACB21" w:rsidR="0054006E" w:rsidRDefault="0054006E" w:rsidP="005841AC">
      <w:pPr>
        <w:pStyle w:val="PargrafodaLista"/>
        <w:spacing w:line="240" w:lineRule="auto"/>
        <w:ind w:left="0"/>
        <w:jc w:val="both"/>
        <w:rPr>
          <w:rFonts w:ascii="Arial" w:hAnsi="Arial" w:cs="Arial"/>
          <w:sz w:val="24"/>
          <w:szCs w:val="24"/>
        </w:rPr>
      </w:pPr>
      <w:r w:rsidRPr="0054006E">
        <w:rPr>
          <w:rFonts w:ascii="Arial" w:hAnsi="Arial" w:cs="Arial"/>
          <w:noProof/>
          <w:sz w:val="24"/>
          <w:szCs w:val="24"/>
        </w:rPr>
        <w:drawing>
          <wp:inline distT="0" distB="0" distL="0" distR="0" wp14:anchorId="52705D6D" wp14:editId="58A80C25">
            <wp:extent cx="6066846" cy="8046547"/>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7194" cy="8047009"/>
                    </a:xfrm>
                    <a:prstGeom prst="rect">
                      <a:avLst/>
                    </a:prstGeom>
                    <a:noFill/>
                    <a:ln>
                      <a:noFill/>
                    </a:ln>
                  </pic:spPr>
                </pic:pic>
              </a:graphicData>
            </a:graphic>
          </wp:inline>
        </w:drawing>
      </w:r>
    </w:p>
    <w:p w14:paraId="6C37741D" w14:textId="41E6DE6E" w:rsidR="0054006E" w:rsidRDefault="0054006E" w:rsidP="005841AC">
      <w:pPr>
        <w:pStyle w:val="PargrafodaLista"/>
        <w:spacing w:line="240" w:lineRule="auto"/>
        <w:ind w:left="0"/>
        <w:jc w:val="both"/>
        <w:rPr>
          <w:rFonts w:ascii="Arial" w:hAnsi="Arial" w:cs="Arial"/>
          <w:sz w:val="24"/>
          <w:szCs w:val="24"/>
        </w:rPr>
      </w:pPr>
    </w:p>
    <w:p w14:paraId="50EFE685" w14:textId="1E6B5DE0" w:rsidR="0054006E" w:rsidRDefault="0054006E" w:rsidP="005841AC">
      <w:pPr>
        <w:pStyle w:val="PargrafodaLista"/>
        <w:spacing w:line="240" w:lineRule="auto"/>
        <w:ind w:left="0"/>
        <w:jc w:val="both"/>
        <w:rPr>
          <w:rFonts w:ascii="Arial" w:hAnsi="Arial" w:cs="Arial"/>
          <w:sz w:val="24"/>
          <w:szCs w:val="24"/>
        </w:rPr>
      </w:pPr>
    </w:p>
    <w:p w14:paraId="17FD20E3" w14:textId="64E35504" w:rsidR="0054006E" w:rsidRDefault="0054006E" w:rsidP="005841AC">
      <w:pPr>
        <w:pStyle w:val="PargrafodaLista"/>
        <w:spacing w:line="240" w:lineRule="auto"/>
        <w:ind w:left="0"/>
        <w:jc w:val="both"/>
        <w:rPr>
          <w:rFonts w:ascii="Arial" w:hAnsi="Arial" w:cs="Arial"/>
          <w:sz w:val="24"/>
          <w:szCs w:val="24"/>
        </w:rPr>
      </w:pPr>
    </w:p>
    <w:p w14:paraId="00416F45" w14:textId="02D33055" w:rsidR="0054006E" w:rsidRPr="00886538" w:rsidRDefault="0054006E" w:rsidP="005841AC">
      <w:pPr>
        <w:pStyle w:val="PargrafodaLista"/>
        <w:spacing w:line="240" w:lineRule="auto"/>
        <w:ind w:left="0"/>
        <w:jc w:val="both"/>
        <w:rPr>
          <w:rFonts w:ascii="Arial" w:hAnsi="Arial" w:cs="Arial"/>
          <w:sz w:val="24"/>
          <w:szCs w:val="24"/>
        </w:rPr>
      </w:pPr>
      <w:r w:rsidRPr="0054006E">
        <w:rPr>
          <w:rFonts w:ascii="Arial" w:hAnsi="Arial" w:cs="Arial"/>
          <w:noProof/>
          <w:sz w:val="24"/>
          <w:szCs w:val="24"/>
        </w:rPr>
        <w:lastRenderedPageBreak/>
        <w:drawing>
          <wp:inline distT="0" distB="0" distL="0" distR="0" wp14:anchorId="29CB10F0" wp14:editId="11C38616">
            <wp:extent cx="5760085" cy="7560310"/>
            <wp:effectExtent l="0" t="0" r="0" b="254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7560310"/>
                    </a:xfrm>
                    <a:prstGeom prst="rect">
                      <a:avLst/>
                    </a:prstGeom>
                    <a:noFill/>
                    <a:ln>
                      <a:noFill/>
                    </a:ln>
                  </pic:spPr>
                </pic:pic>
              </a:graphicData>
            </a:graphic>
          </wp:inline>
        </w:drawing>
      </w:r>
    </w:p>
    <w:sectPr w:rsidR="0054006E" w:rsidRPr="00886538" w:rsidSect="00191D35">
      <w:headerReference w:type="default" r:id="rId16"/>
      <w:pgSz w:w="11906" w:h="16838"/>
      <w:pgMar w:top="1701" w:right="1134" w:bottom="1134" w:left="170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F8443" w14:textId="77777777" w:rsidR="00125DF2" w:rsidRDefault="00125DF2" w:rsidP="00FE2A7C">
      <w:pPr>
        <w:spacing w:after="0" w:line="240" w:lineRule="auto"/>
      </w:pPr>
      <w:r>
        <w:separator/>
      </w:r>
    </w:p>
  </w:endnote>
  <w:endnote w:type="continuationSeparator" w:id="0">
    <w:p w14:paraId="118AE3C8" w14:textId="77777777" w:rsidR="00125DF2" w:rsidRDefault="00125DF2" w:rsidP="00FE2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DXQJMF+Minion-BoldItalic">
    <w:altName w:val="Cambria"/>
    <w:panose1 w:val="00000000000000000000"/>
    <w:charset w:val="00"/>
    <w:family w:val="roman"/>
    <w:notTrueType/>
    <w:pitch w:val="default"/>
    <w:sig w:usb0="00000003" w:usb1="00000000" w:usb2="00000000" w:usb3="00000000" w:csb0="00000001" w:csb1="00000000"/>
  </w:font>
  <w:font w:name="OMBXKJ+Humanist777BT-BoldB">
    <w:altName w:val="Calibri"/>
    <w:panose1 w:val="00000000000000000000"/>
    <w:charset w:val="00"/>
    <w:family w:val="swiss"/>
    <w:notTrueType/>
    <w:pitch w:val="default"/>
    <w:sig w:usb0="00000003" w:usb1="00000000" w:usb2="00000000" w:usb3="00000000" w:csb0="00000001" w:csb1="00000000"/>
  </w:font>
  <w:font w:name="MWHLIN+Humanist777BT-RomanB">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7F07A" w14:textId="77777777" w:rsidR="00125DF2" w:rsidRDefault="00125DF2" w:rsidP="00FE2A7C">
      <w:pPr>
        <w:spacing w:after="0" w:line="240" w:lineRule="auto"/>
      </w:pPr>
      <w:r>
        <w:separator/>
      </w:r>
    </w:p>
  </w:footnote>
  <w:footnote w:type="continuationSeparator" w:id="0">
    <w:p w14:paraId="2AE62841" w14:textId="77777777" w:rsidR="00125DF2" w:rsidRDefault="00125DF2" w:rsidP="00FE2A7C">
      <w:pPr>
        <w:spacing w:after="0" w:line="240" w:lineRule="auto"/>
      </w:pPr>
      <w:r>
        <w:continuationSeparator/>
      </w:r>
    </w:p>
  </w:footnote>
  <w:footnote w:id="1">
    <w:p w14:paraId="7CC6911E" w14:textId="77777777" w:rsidR="004F6EFD" w:rsidRPr="00A13086" w:rsidRDefault="004F6EFD">
      <w:pPr>
        <w:pStyle w:val="Textodenotaderodap"/>
        <w:rPr>
          <w:color w:val="FF0000"/>
        </w:rPr>
      </w:pPr>
    </w:p>
  </w:footnote>
  <w:footnote w:id="2">
    <w:p w14:paraId="68BA1EC3" w14:textId="2AA28502" w:rsidR="004F6EFD" w:rsidRPr="008F7B92" w:rsidRDefault="004F6EFD">
      <w:pPr>
        <w:pStyle w:val="Textodenotaderodap"/>
      </w:pPr>
      <w:r w:rsidRPr="00886538">
        <w:rPr>
          <w:vertAlign w:val="superscript"/>
        </w:rPr>
        <w:t xml:space="preserve">1 </w:t>
      </w:r>
      <w:r>
        <w:t>Graduando em Odontologia pela Faculdade Patos de Minas</w:t>
      </w:r>
      <w:r w:rsidR="00BC1E28">
        <w:t>, 2020</w:t>
      </w:r>
      <w:r>
        <w:t xml:space="preserve">. </w:t>
      </w:r>
      <w:r w:rsidRPr="008F7B92">
        <w:t>Email: viniciusuem@gmail.com</w:t>
      </w:r>
    </w:p>
    <w:p w14:paraId="473B0A36" w14:textId="77777777" w:rsidR="004F6EFD" w:rsidRPr="004F6EFD" w:rsidRDefault="004F6EFD">
      <w:pPr>
        <w:pStyle w:val="Textodenotaderodap"/>
      </w:pPr>
      <w:r w:rsidRPr="004F6EFD">
        <w:rPr>
          <w:vertAlign w:val="superscript"/>
        </w:rPr>
        <w:t xml:space="preserve">2 </w:t>
      </w:r>
      <w:r>
        <w:t xml:space="preserve">Graduando em Odontologia pela Faculdade Patos de Minas. </w:t>
      </w:r>
      <w:r w:rsidRPr="004F6EFD">
        <w:t>Email: jeanmariano1996@hotmail.com</w:t>
      </w:r>
    </w:p>
  </w:footnote>
  <w:footnote w:id="3">
    <w:p w14:paraId="3F039E9F" w14:textId="5B5B2AF4" w:rsidR="004F6EFD" w:rsidRPr="004F6EFD" w:rsidRDefault="004F6EFD" w:rsidP="00220AAC">
      <w:pPr>
        <w:pStyle w:val="Textodenotaderodap"/>
      </w:pPr>
      <w:r w:rsidRPr="004F6EFD">
        <w:rPr>
          <w:vertAlign w:val="superscript"/>
        </w:rPr>
        <w:t>3</w:t>
      </w:r>
      <w:r w:rsidRPr="004F6EFD">
        <w:t xml:space="preserve"> </w:t>
      </w:r>
      <w:r w:rsidR="00BC1E28" w:rsidRPr="004F6EFD">
        <w:t>Docente d</w:t>
      </w:r>
      <w:r w:rsidR="00BC1E28">
        <w:t>e Ortodontia da Faculdade Patos de Minas</w:t>
      </w:r>
      <w:r w:rsidR="00BC1E28">
        <w:tab/>
        <w:t>com graduação em Odontologia pela PUC-Minas, especialização em Bucomaxilo</w:t>
      </w:r>
      <w:r w:rsidR="008F7B92">
        <w:t xml:space="preserve"> </w:t>
      </w:r>
      <w:r w:rsidR="00BC1E28">
        <w:t>facial e Ortodontia Email: alexandrecvianna@gmail.com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7094428"/>
      <w:docPartObj>
        <w:docPartGallery w:val="Page Numbers (Top of Page)"/>
        <w:docPartUnique/>
      </w:docPartObj>
    </w:sdtPr>
    <w:sdtEndPr/>
    <w:sdtContent>
      <w:p w14:paraId="4321C3F7" w14:textId="010E87A8" w:rsidR="00BC1E28" w:rsidRDefault="00BC1E28">
        <w:pPr>
          <w:pStyle w:val="Cabealho"/>
          <w:jc w:val="right"/>
        </w:pPr>
        <w:r>
          <w:fldChar w:fldCharType="begin"/>
        </w:r>
        <w:r>
          <w:instrText>PAGE   \* MERGEFORMAT</w:instrText>
        </w:r>
        <w:r>
          <w:fldChar w:fldCharType="separate"/>
        </w:r>
        <w:r w:rsidR="001F5537">
          <w:rPr>
            <w:noProof/>
          </w:rPr>
          <w:t>6</w:t>
        </w:r>
        <w:r>
          <w:fldChar w:fldCharType="end"/>
        </w:r>
      </w:p>
    </w:sdtContent>
  </w:sdt>
  <w:p w14:paraId="7601B67A" w14:textId="77777777" w:rsidR="004F6EFD" w:rsidRDefault="004F6EF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22641"/>
    <w:multiLevelType w:val="hybridMultilevel"/>
    <w:tmpl w:val="A9A46FAA"/>
    <w:lvl w:ilvl="0" w:tplc="9B081332">
      <w:start w:val="1"/>
      <w:numFmt w:val="decimal"/>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8026E81"/>
    <w:multiLevelType w:val="hybridMultilevel"/>
    <w:tmpl w:val="38847B36"/>
    <w:lvl w:ilvl="0" w:tplc="0CC2B78E">
      <w:start w:val="1"/>
      <w:numFmt w:val="decimal"/>
      <w:lvlText w:val="%1)"/>
      <w:lvlJc w:val="left"/>
      <w:pPr>
        <w:ind w:left="720" w:hanging="360"/>
      </w:pPr>
      <w:rPr>
        <w:rFonts w:asciiTheme="minorHAnsi" w:hAnsiTheme="minorHAnsi" w:cstheme="minorBid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6B2BD6"/>
    <w:multiLevelType w:val="multilevel"/>
    <w:tmpl w:val="EDA67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BA47BD"/>
    <w:multiLevelType w:val="hybridMultilevel"/>
    <w:tmpl w:val="9B70C026"/>
    <w:lvl w:ilvl="0" w:tplc="E50E106E">
      <w:start w:val="1"/>
      <w:numFmt w:val="decimal"/>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2FE474BB"/>
    <w:multiLevelType w:val="hybridMultilevel"/>
    <w:tmpl w:val="6AD4B3E0"/>
    <w:lvl w:ilvl="0" w:tplc="265E2E28">
      <w:start w:val="1"/>
      <w:numFmt w:val="decimal"/>
      <w:lvlText w:val="%1-"/>
      <w:lvlJc w:val="left"/>
      <w:pPr>
        <w:ind w:left="720" w:hanging="360"/>
      </w:pPr>
      <w:rPr>
        <w:rFonts w:ascii="Arial" w:hAnsi="Arial" w:cs="Arial" w:hint="default"/>
        <w:sz w:val="24"/>
        <w:szCs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0AE38EB"/>
    <w:multiLevelType w:val="hybridMultilevel"/>
    <w:tmpl w:val="5A0C165E"/>
    <w:lvl w:ilvl="0" w:tplc="9BA6CD9C">
      <w:start w:val="1"/>
      <w:numFmt w:val="lowerLetter"/>
      <w:lvlText w:val="%1)"/>
      <w:lvlJc w:val="left"/>
      <w:pPr>
        <w:ind w:left="720" w:hanging="360"/>
      </w:pPr>
      <w:rPr>
        <w:rFonts w:hint="default"/>
        <w:b/>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1E26788"/>
    <w:multiLevelType w:val="hybridMultilevel"/>
    <w:tmpl w:val="F52E75D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7D03B4D"/>
    <w:multiLevelType w:val="hybridMultilevel"/>
    <w:tmpl w:val="80FE12B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3"/>
  </w:num>
  <w:num w:numId="3">
    <w:abstractNumId w:val="7"/>
  </w:num>
  <w:num w:numId="4">
    <w:abstractNumId w:val="1"/>
  </w:num>
  <w:num w:numId="5">
    <w:abstractNumId w:val="2"/>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595C"/>
    <w:rsid w:val="00001C89"/>
    <w:rsid w:val="0000210D"/>
    <w:rsid w:val="00002660"/>
    <w:rsid w:val="0000421F"/>
    <w:rsid w:val="00004A7F"/>
    <w:rsid w:val="00004C09"/>
    <w:rsid w:val="0001075C"/>
    <w:rsid w:val="0001707D"/>
    <w:rsid w:val="00024D18"/>
    <w:rsid w:val="00027553"/>
    <w:rsid w:val="00031A77"/>
    <w:rsid w:val="00033BA6"/>
    <w:rsid w:val="00033E2A"/>
    <w:rsid w:val="00051D36"/>
    <w:rsid w:val="00053F70"/>
    <w:rsid w:val="00054FDA"/>
    <w:rsid w:val="00062091"/>
    <w:rsid w:val="00065590"/>
    <w:rsid w:val="00067C30"/>
    <w:rsid w:val="000716B4"/>
    <w:rsid w:val="0008047E"/>
    <w:rsid w:val="000817CF"/>
    <w:rsid w:val="00082EDD"/>
    <w:rsid w:val="00086108"/>
    <w:rsid w:val="00090CDB"/>
    <w:rsid w:val="00091DC9"/>
    <w:rsid w:val="000949D4"/>
    <w:rsid w:val="000973A2"/>
    <w:rsid w:val="000A3523"/>
    <w:rsid w:val="000A4F1F"/>
    <w:rsid w:val="000A545C"/>
    <w:rsid w:val="000A5782"/>
    <w:rsid w:val="000B0D4C"/>
    <w:rsid w:val="000B2B20"/>
    <w:rsid w:val="000C0C9D"/>
    <w:rsid w:val="000C465F"/>
    <w:rsid w:val="000D25A6"/>
    <w:rsid w:val="000D3EB8"/>
    <w:rsid w:val="000D54F1"/>
    <w:rsid w:val="000D5C31"/>
    <w:rsid w:val="000D6EBE"/>
    <w:rsid w:val="000E5062"/>
    <w:rsid w:val="000F42BD"/>
    <w:rsid w:val="000F62E2"/>
    <w:rsid w:val="000F675D"/>
    <w:rsid w:val="000F7045"/>
    <w:rsid w:val="00101ED8"/>
    <w:rsid w:val="00105825"/>
    <w:rsid w:val="00107E69"/>
    <w:rsid w:val="001159F0"/>
    <w:rsid w:val="00122819"/>
    <w:rsid w:val="001228A9"/>
    <w:rsid w:val="001229E2"/>
    <w:rsid w:val="00125833"/>
    <w:rsid w:val="00125DF2"/>
    <w:rsid w:val="00137428"/>
    <w:rsid w:val="0014143A"/>
    <w:rsid w:val="0014284B"/>
    <w:rsid w:val="00145BFE"/>
    <w:rsid w:val="001506E3"/>
    <w:rsid w:val="0015158E"/>
    <w:rsid w:val="00152B5A"/>
    <w:rsid w:val="00153D9D"/>
    <w:rsid w:val="00155B1E"/>
    <w:rsid w:val="00157712"/>
    <w:rsid w:val="001647AF"/>
    <w:rsid w:val="001653E8"/>
    <w:rsid w:val="00170616"/>
    <w:rsid w:val="00176420"/>
    <w:rsid w:val="00181DCC"/>
    <w:rsid w:val="00185260"/>
    <w:rsid w:val="0018713A"/>
    <w:rsid w:val="00191D35"/>
    <w:rsid w:val="001924F1"/>
    <w:rsid w:val="00193C98"/>
    <w:rsid w:val="001948CD"/>
    <w:rsid w:val="00195950"/>
    <w:rsid w:val="00195E34"/>
    <w:rsid w:val="001A22E4"/>
    <w:rsid w:val="001A6170"/>
    <w:rsid w:val="001B5783"/>
    <w:rsid w:val="001B5AA9"/>
    <w:rsid w:val="001B796C"/>
    <w:rsid w:val="001C0469"/>
    <w:rsid w:val="001C05A2"/>
    <w:rsid w:val="001D16BC"/>
    <w:rsid w:val="001D24DE"/>
    <w:rsid w:val="001D5D91"/>
    <w:rsid w:val="001D6BFE"/>
    <w:rsid w:val="001F19F3"/>
    <w:rsid w:val="001F5537"/>
    <w:rsid w:val="002079A1"/>
    <w:rsid w:val="00207EFE"/>
    <w:rsid w:val="00212546"/>
    <w:rsid w:val="00213408"/>
    <w:rsid w:val="00213669"/>
    <w:rsid w:val="00220497"/>
    <w:rsid w:val="00220AAC"/>
    <w:rsid w:val="00232049"/>
    <w:rsid w:val="00241C12"/>
    <w:rsid w:val="00242D81"/>
    <w:rsid w:val="002502E7"/>
    <w:rsid w:val="00255799"/>
    <w:rsid w:val="002564BF"/>
    <w:rsid w:val="002604BC"/>
    <w:rsid w:val="002619FF"/>
    <w:rsid w:val="00265D1F"/>
    <w:rsid w:val="002751B5"/>
    <w:rsid w:val="002779E1"/>
    <w:rsid w:val="002800F4"/>
    <w:rsid w:val="00280F8F"/>
    <w:rsid w:val="0028445C"/>
    <w:rsid w:val="00296B6D"/>
    <w:rsid w:val="002978DD"/>
    <w:rsid w:val="002A2435"/>
    <w:rsid w:val="002A26EA"/>
    <w:rsid w:val="002B1480"/>
    <w:rsid w:val="002B26A8"/>
    <w:rsid w:val="002B5EA2"/>
    <w:rsid w:val="002B7CC8"/>
    <w:rsid w:val="002C05AB"/>
    <w:rsid w:val="002C34FF"/>
    <w:rsid w:val="002C5227"/>
    <w:rsid w:val="002C76BD"/>
    <w:rsid w:val="002D14C5"/>
    <w:rsid w:val="002D1ECA"/>
    <w:rsid w:val="002D5C87"/>
    <w:rsid w:val="002F2D88"/>
    <w:rsid w:val="00303672"/>
    <w:rsid w:val="0030522D"/>
    <w:rsid w:val="00306AC6"/>
    <w:rsid w:val="00307AFB"/>
    <w:rsid w:val="0031223E"/>
    <w:rsid w:val="003123EB"/>
    <w:rsid w:val="00316AA7"/>
    <w:rsid w:val="00320BC2"/>
    <w:rsid w:val="00320F9F"/>
    <w:rsid w:val="00324A34"/>
    <w:rsid w:val="003310FD"/>
    <w:rsid w:val="00333D85"/>
    <w:rsid w:val="00333F17"/>
    <w:rsid w:val="00334AEC"/>
    <w:rsid w:val="0034009D"/>
    <w:rsid w:val="003406CD"/>
    <w:rsid w:val="003407F7"/>
    <w:rsid w:val="0034144B"/>
    <w:rsid w:val="003427AA"/>
    <w:rsid w:val="00344952"/>
    <w:rsid w:val="003453EB"/>
    <w:rsid w:val="0034571F"/>
    <w:rsid w:val="0035075A"/>
    <w:rsid w:val="003528C3"/>
    <w:rsid w:val="00360272"/>
    <w:rsid w:val="00373248"/>
    <w:rsid w:val="0037450C"/>
    <w:rsid w:val="00375254"/>
    <w:rsid w:val="00376056"/>
    <w:rsid w:val="00377C5A"/>
    <w:rsid w:val="0038001C"/>
    <w:rsid w:val="00380499"/>
    <w:rsid w:val="0038440E"/>
    <w:rsid w:val="0038504B"/>
    <w:rsid w:val="0038514D"/>
    <w:rsid w:val="003868FD"/>
    <w:rsid w:val="00387E50"/>
    <w:rsid w:val="00397250"/>
    <w:rsid w:val="003A05D5"/>
    <w:rsid w:val="003A3C4D"/>
    <w:rsid w:val="003A74ED"/>
    <w:rsid w:val="003B08C2"/>
    <w:rsid w:val="003B2919"/>
    <w:rsid w:val="003B3F41"/>
    <w:rsid w:val="003B40C0"/>
    <w:rsid w:val="003B607C"/>
    <w:rsid w:val="003C42FD"/>
    <w:rsid w:val="003C6104"/>
    <w:rsid w:val="003C64C7"/>
    <w:rsid w:val="003D1239"/>
    <w:rsid w:val="003D4075"/>
    <w:rsid w:val="003D57EC"/>
    <w:rsid w:val="003D7F57"/>
    <w:rsid w:val="003F4CAF"/>
    <w:rsid w:val="003F5310"/>
    <w:rsid w:val="003F79B6"/>
    <w:rsid w:val="0040303F"/>
    <w:rsid w:val="004064E5"/>
    <w:rsid w:val="00407CAA"/>
    <w:rsid w:val="00410CAE"/>
    <w:rsid w:val="00415A26"/>
    <w:rsid w:val="00416C4F"/>
    <w:rsid w:val="00422E11"/>
    <w:rsid w:val="00423ED3"/>
    <w:rsid w:val="00423F4E"/>
    <w:rsid w:val="0042643F"/>
    <w:rsid w:val="004323ED"/>
    <w:rsid w:val="00434D05"/>
    <w:rsid w:val="0043568E"/>
    <w:rsid w:val="004360C7"/>
    <w:rsid w:val="00441BEE"/>
    <w:rsid w:val="00442400"/>
    <w:rsid w:val="004466C7"/>
    <w:rsid w:val="00452C95"/>
    <w:rsid w:val="004537E9"/>
    <w:rsid w:val="00455890"/>
    <w:rsid w:val="00460E3C"/>
    <w:rsid w:val="00462039"/>
    <w:rsid w:val="00462854"/>
    <w:rsid w:val="00462F39"/>
    <w:rsid w:val="00465244"/>
    <w:rsid w:val="00470106"/>
    <w:rsid w:val="004713F0"/>
    <w:rsid w:val="00473D96"/>
    <w:rsid w:val="0049178C"/>
    <w:rsid w:val="00492939"/>
    <w:rsid w:val="004A3597"/>
    <w:rsid w:val="004B6DE2"/>
    <w:rsid w:val="004C08DE"/>
    <w:rsid w:val="004C5309"/>
    <w:rsid w:val="004C71E2"/>
    <w:rsid w:val="004D12C0"/>
    <w:rsid w:val="004D5CCC"/>
    <w:rsid w:val="004D744F"/>
    <w:rsid w:val="004D7BFF"/>
    <w:rsid w:val="004E4181"/>
    <w:rsid w:val="004E595C"/>
    <w:rsid w:val="004E6E24"/>
    <w:rsid w:val="004F1059"/>
    <w:rsid w:val="004F6322"/>
    <w:rsid w:val="004F6EFD"/>
    <w:rsid w:val="00501C0B"/>
    <w:rsid w:val="00502980"/>
    <w:rsid w:val="005068F1"/>
    <w:rsid w:val="00510344"/>
    <w:rsid w:val="00511D05"/>
    <w:rsid w:val="005135CA"/>
    <w:rsid w:val="00515D72"/>
    <w:rsid w:val="00522E04"/>
    <w:rsid w:val="0052307E"/>
    <w:rsid w:val="005256CF"/>
    <w:rsid w:val="005273F0"/>
    <w:rsid w:val="0054006E"/>
    <w:rsid w:val="00547DA4"/>
    <w:rsid w:val="00547DC5"/>
    <w:rsid w:val="005534CD"/>
    <w:rsid w:val="00557E55"/>
    <w:rsid w:val="00565E86"/>
    <w:rsid w:val="00570494"/>
    <w:rsid w:val="005707FF"/>
    <w:rsid w:val="00576D5A"/>
    <w:rsid w:val="005779C7"/>
    <w:rsid w:val="0058418B"/>
    <w:rsid w:val="005841AC"/>
    <w:rsid w:val="00584B15"/>
    <w:rsid w:val="005859B6"/>
    <w:rsid w:val="0059265D"/>
    <w:rsid w:val="005A101F"/>
    <w:rsid w:val="005A6EA2"/>
    <w:rsid w:val="005B1C64"/>
    <w:rsid w:val="005B4DA3"/>
    <w:rsid w:val="005C167E"/>
    <w:rsid w:val="005D0804"/>
    <w:rsid w:val="005D19F2"/>
    <w:rsid w:val="005D29C4"/>
    <w:rsid w:val="005E5F7C"/>
    <w:rsid w:val="005F32FB"/>
    <w:rsid w:val="005F419E"/>
    <w:rsid w:val="005F6603"/>
    <w:rsid w:val="005F7C0D"/>
    <w:rsid w:val="00605F00"/>
    <w:rsid w:val="00607050"/>
    <w:rsid w:val="006101CB"/>
    <w:rsid w:val="00614C1F"/>
    <w:rsid w:val="0061504B"/>
    <w:rsid w:val="006159D5"/>
    <w:rsid w:val="00616B99"/>
    <w:rsid w:val="00620F71"/>
    <w:rsid w:val="0062215C"/>
    <w:rsid w:val="00623EBC"/>
    <w:rsid w:val="00623FAD"/>
    <w:rsid w:val="00625798"/>
    <w:rsid w:val="0063586D"/>
    <w:rsid w:val="00640792"/>
    <w:rsid w:val="00640C74"/>
    <w:rsid w:val="00641DC9"/>
    <w:rsid w:val="00646FF2"/>
    <w:rsid w:val="00647475"/>
    <w:rsid w:val="00651E52"/>
    <w:rsid w:val="00652B62"/>
    <w:rsid w:val="00657476"/>
    <w:rsid w:val="00657CDC"/>
    <w:rsid w:val="006642C4"/>
    <w:rsid w:val="00672033"/>
    <w:rsid w:val="00690B8F"/>
    <w:rsid w:val="00690FCC"/>
    <w:rsid w:val="00691F58"/>
    <w:rsid w:val="006932F3"/>
    <w:rsid w:val="0069661F"/>
    <w:rsid w:val="00697467"/>
    <w:rsid w:val="006A20CA"/>
    <w:rsid w:val="006B6329"/>
    <w:rsid w:val="006B6E82"/>
    <w:rsid w:val="006B71F8"/>
    <w:rsid w:val="006B736D"/>
    <w:rsid w:val="006C06BD"/>
    <w:rsid w:val="006C2DFC"/>
    <w:rsid w:val="006C2ED6"/>
    <w:rsid w:val="006C4DB6"/>
    <w:rsid w:val="006D1D13"/>
    <w:rsid w:val="006D3A75"/>
    <w:rsid w:val="006D56B4"/>
    <w:rsid w:val="006E03DB"/>
    <w:rsid w:val="006E4C41"/>
    <w:rsid w:val="006F1CFA"/>
    <w:rsid w:val="006F6138"/>
    <w:rsid w:val="007028E6"/>
    <w:rsid w:val="00702D41"/>
    <w:rsid w:val="00713032"/>
    <w:rsid w:val="00714FD2"/>
    <w:rsid w:val="007156CD"/>
    <w:rsid w:val="00727D82"/>
    <w:rsid w:val="00736BBB"/>
    <w:rsid w:val="00737C97"/>
    <w:rsid w:val="007413B3"/>
    <w:rsid w:val="007427A4"/>
    <w:rsid w:val="00746772"/>
    <w:rsid w:val="00751992"/>
    <w:rsid w:val="00752CE5"/>
    <w:rsid w:val="00753615"/>
    <w:rsid w:val="0075740B"/>
    <w:rsid w:val="00773A98"/>
    <w:rsid w:val="00773D7A"/>
    <w:rsid w:val="007777DE"/>
    <w:rsid w:val="00785F7C"/>
    <w:rsid w:val="00787D75"/>
    <w:rsid w:val="0079496F"/>
    <w:rsid w:val="007A1E16"/>
    <w:rsid w:val="007A3BFE"/>
    <w:rsid w:val="007B164D"/>
    <w:rsid w:val="007B39BA"/>
    <w:rsid w:val="007B3D30"/>
    <w:rsid w:val="007B3DE7"/>
    <w:rsid w:val="007B6825"/>
    <w:rsid w:val="007C1A0E"/>
    <w:rsid w:val="007D05CE"/>
    <w:rsid w:val="007D07C1"/>
    <w:rsid w:val="007D09E9"/>
    <w:rsid w:val="007D24BB"/>
    <w:rsid w:val="007E36B2"/>
    <w:rsid w:val="007E3765"/>
    <w:rsid w:val="007E6690"/>
    <w:rsid w:val="007F4B3A"/>
    <w:rsid w:val="007F6CEE"/>
    <w:rsid w:val="0080459C"/>
    <w:rsid w:val="00807AF8"/>
    <w:rsid w:val="008141F5"/>
    <w:rsid w:val="008159CC"/>
    <w:rsid w:val="0082044F"/>
    <w:rsid w:val="008231D9"/>
    <w:rsid w:val="00824604"/>
    <w:rsid w:val="0082578F"/>
    <w:rsid w:val="008260B1"/>
    <w:rsid w:val="008275CD"/>
    <w:rsid w:val="00833F9E"/>
    <w:rsid w:val="00834856"/>
    <w:rsid w:val="0085080D"/>
    <w:rsid w:val="00855B3B"/>
    <w:rsid w:val="00857C5C"/>
    <w:rsid w:val="00862D58"/>
    <w:rsid w:val="00863CA7"/>
    <w:rsid w:val="00867C00"/>
    <w:rsid w:val="008717F4"/>
    <w:rsid w:val="00873BD4"/>
    <w:rsid w:val="0087456C"/>
    <w:rsid w:val="00874BDC"/>
    <w:rsid w:val="00875437"/>
    <w:rsid w:val="0088298A"/>
    <w:rsid w:val="008842F5"/>
    <w:rsid w:val="00884A2B"/>
    <w:rsid w:val="00886538"/>
    <w:rsid w:val="00894915"/>
    <w:rsid w:val="00895550"/>
    <w:rsid w:val="00896D91"/>
    <w:rsid w:val="008A3578"/>
    <w:rsid w:val="008A48F7"/>
    <w:rsid w:val="008B56B1"/>
    <w:rsid w:val="008B5925"/>
    <w:rsid w:val="008C1506"/>
    <w:rsid w:val="008D01B1"/>
    <w:rsid w:val="008D1537"/>
    <w:rsid w:val="008D1E0E"/>
    <w:rsid w:val="008D59DF"/>
    <w:rsid w:val="008D5D5E"/>
    <w:rsid w:val="008E01D4"/>
    <w:rsid w:val="008F0F23"/>
    <w:rsid w:val="008F71AB"/>
    <w:rsid w:val="008F7B92"/>
    <w:rsid w:val="0090018B"/>
    <w:rsid w:val="00901F9D"/>
    <w:rsid w:val="00903676"/>
    <w:rsid w:val="00903697"/>
    <w:rsid w:val="00906C3F"/>
    <w:rsid w:val="00911028"/>
    <w:rsid w:val="00914836"/>
    <w:rsid w:val="0091714C"/>
    <w:rsid w:val="00917813"/>
    <w:rsid w:val="00921629"/>
    <w:rsid w:val="009220C4"/>
    <w:rsid w:val="009228D6"/>
    <w:rsid w:val="00925016"/>
    <w:rsid w:val="0093064C"/>
    <w:rsid w:val="00931A2B"/>
    <w:rsid w:val="00933690"/>
    <w:rsid w:val="00934AB5"/>
    <w:rsid w:val="009416EB"/>
    <w:rsid w:val="00941F50"/>
    <w:rsid w:val="00947CBF"/>
    <w:rsid w:val="009507D9"/>
    <w:rsid w:val="0095086D"/>
    <w:rsid w:val="00954E5E"/>
    <w:rsid w:val="00964CDD"/>
    <w:rsid w:val="009655A1"/>
    <w:rsid w:val="009825A3"/>
    <w:rsid w:val="00982A0C"/>
    <w:rsid w:val="0099317D"/>
    <w:rsid w:val="009A0C1D"/>
    <w:rsid w:val="009B3F84"/>
    <w:rsid w:val="009B5D4A"/>
    <w:rsid w:val="009B6C0B"/>
    <w:rsid w:val="009B7EDE"/>
    <w:rsid w:val="009C0427"/>
    <w:rsid w:val="009C2229"/>
    <w:rsid w:val="009C3F4D"/>
    <w:rsid w:val="009C442D"/>
    <w:rsid w:val="009D18C3"/>
    <w:rsid w:val="009D27E0"/>
    <w:rsid w:val="009D3B6A"/>
    <w:rsid w:val="009D6458"/>
    <w:rsid w:val="009E0448"/>
    <w:rsid w:val="009E6565"/>
    <w:rsid w:val="009F142E"/>
    <w:rsid w:val="009F1E41"/>
    <w:rsid w:val="009F2413"/>
    <w:rsid w:val="009F26E7"/>
    <w:rsid w:val="00A13086"/>
    <w:rsid w:val="00A1704C"/>
    <w:rsid w:val="00A265C2"/>
    <w:rsid w:val="00A4611F"/>
    <w:rsid w:val="00A475EC"/>
    <w:rsid w:val="00A56A83"/>
    <w:rsid w:val="00A61E88"/>
    <w:rsid w:val="00A62EAA"/>
    <w:rsid w:val="00A64FA6"/>
    <w:rsid w:val="00A65423"/>
    <w:rsid w:val="00A66374"/>
    <w:rsid w:val="00A70462"/>
    <w:rsid w:val="00A714CF"/>
    <w:rsid w:val="00A719DE"/>
    <w:rsid w:val="00A73799"/>
    <w:rsid w:val="00A77F2E"/>
    <w:rsid w:val="00A824B6"/>
    <w:rsid w:val="00A92452"/>
    <w:rsid w:val="00AB0960"/>
    <w:rsid w:val="00AB4CCD"/>
    <w:rsid w:val="00AC2E76"/>
    <w:rsid w:val="00AC3200"/>
    <w:rsid w:val="00AC77AB"/>
    <w:rsid w:val="00AD0367"/>
    <w:rsid w:val="00AD4AF4"/>
    <w:rsid w:val="00AE2321"/>
    <w:rsid w:val="00AE3599"/>
    <w:rsid w:val="00AE49C4"/>
    <w:rsid w:val="00AE7141"/>
    <w:rsid w:val="00AF37F2"/>
    <w:rsid w:val="00B03441"/>
    <w:rsid w:val="00B064EC"/>
    <w:rsid w:val="00B13F73"/>
    <w:rsid w:val="00B14AE2"/>
    <w:rsid w:val="00B16232"/>
    <w:rsid w:val="00B17A7A"/>
    <w:rsid w:val="00B21277"/>
    <w:rsid w:val="00B2219F"/>
    <w:rsid w:val="00B272A4"/>
    <w:rsid w:val="00B27E59"/>
    <w:rsid w:val="00B34D01"/>
    <w:rsid w:val="00B42B72"/>
    <w:rsid w:val="00B52751"/>
    <w:rsid w:val="00B57C64"/>
    <w:rsid w:val="00B57FF5"/>
    <w:rsid w:val="00B60FA6"/>
    <w:rsid w:val="00B624F0"/>
    <w:rsid w:val="00B62BB2"/>
    <w:rsid w:val="00B665BD"/>
    <w:rsid w:val="00B71CD7"/>
    <w:rsid w:val="00B726A4"/>
    <w:rsid w:val="00B74151"/>
    <w:rsid w:val="00B82DE1"/>
    <w:rsid w:val="00B834E8"/>
    <w:rsid w:val="00B854A4"/>
    <w:rsid w:val="00B85537"/>
    <w:rsid w:val="00B87CF2"/>
    <w:rsid w:val="00B90973"/>
    <w:rsid w:val="00B92CF0"/>
    <w:rsid w:val="00B92FAF"/>
    <w:rsid w:val="00B93B47"/>
    <w:rsid w:val="00B948EE"/>
    <w:rsid w:val="00B9695C"/>
    <w:rsid w:val="00B972A1"/>
    <w:rsid w:val="00BB3D13"/>
    <w:rsid w:val="00BC11F2"/>
    <w:rsid w:val="00BC1E28"/>
    <w:rsid w:val="00BC5723"/>
    <w:rsid w:val="00BC62DF"/>
    <w:rsid w:val="00BD27A1"/>
    <w:rsid w:val="00BD334E"/>
    <w:rsid w:val="00BD62D5"/>
    <w:rsid w:val="00BD70B2"/>
    <w:rsid w:val="00BE0E88"/>
    <w:rsid w:val="00BE4179"/>
    <w:rsid w:val="00BE7C07"/>
    <w:rsid w:val="00BE7F40"/>
    <w:rsid w:val="00BF4B65"/>
    <w:rsid w:val="00C05F96"/>
    <w:rsid w:val="00C109C8"/>
    <w:rsid w:val="00C115B7"/>
    <w:rsid w:val="00C1384D"/>
    <w:rsid w:val="00C246BD"/>
    <w:rsid w:val="00C26791"/>
    <w:rsid w:val="00C30CA6"/>
    <w:rsid w:val="00C328C3"/>
    <w:rsid w:val="00C34D71"/>
    <w:rsid w:val="00C36A60"/>
    <w:rsid w:val="00C40072"/>
    <w:rsid w:val="00C41138"/>
    <w:rsid w:val="00C44822"/>
    <w:rsid w:val="00C47263"/>
    <w:rsid w:val="00C613EE"/>
    <w:rsid w:val="00C62F29"/>
    <w:rsid w:val="00C71EC9"/>
    <w:rsid w:val="00C753B5"/>
    <w:rsid w:val="00C813B4"/>
    <w:rsid w:val="00C82A7A"/>
    <w:rsid w:val="00C84E96"/>
    <w:rsid w:val="00C90476"/>
    <w:rsid w:val="00C93888"/>
    <w:rsid w:val="00C97C4F"/>
    <w:rsid w:val="00CA4A7B"/>
    <w:rsid w:val="00CA6755"/>
    <w:rsid w:val="00CB0539"/>
    <w:rsid w:val="00CB4FA9"/>
    <w:rsid w:val="00CD2292"/>
    <w:rsid w:val="00CD22BB"/>
    <w:rsid w:val="00CD2AE4"/>
    <w:rsid w:val="00CD3247"/>
    <w:rsid w:val="00CD40A5"/>
    <w:rsid w:val="00CE56F7"/>
    <w:rsid w:val="00CE7A0D"/>
    <w:rsid w:val="00CF1F6A"/>
    <w:rsid w:val="00D036A7"/>
    <w:rsid w:val="00D05B02"/>
    <w:rsid w:val="00D06683"/>
    <w:rsid w:val="00D11547"/>
    <w:rsid w:val="00D15920"/>
    <w:rsid w:val="00D17567"/>
    <w:rsid w:val="00D20FB2"/>
    <w:rsid w:val="00D2633D"/>
    <w:rsid w:val="00D27106"/>
    <w:rsid w:val="00D32FE3"/>
    <w:rsid w:val="00D37C42"/>
    <w:rsid w:val="00D417C2"/>
    <w:rsid w:val="00D41B33"/>
    <w:rsid w:val="00D435CD"/>
    <w:rsid w:val="00D45E42"/>
    <w:rsid w:val="00D4657F"/>
    <w:rsid w:val="00D53E75"/>
    <w:rsid w:val="00D609F3"/>
    <w:rsid w:val="00D65761"/>
    <w:rsid w:val="00D677B8"/>
    <w:rsid w:val="00D678CA"/>
    <w:rsid w:val="00D75FC4"/>
    <w:rsid w:val="00D84194"/>
    <w:rsid w:val="00D848EC"/>
    <w:rsid w:val="00D871C7"/>
    <w:rsid w:val="00DA0B62"/>
    <w:rsid w:val="00DA1A19"/>
    <w:rsid w:val="00DA1DCA"/>
    <w:rsid w:val="00DA4506"/>
    <w:rsid w:val="00DA793D"/>
    <w:rsid w:val="00DB0EDD"/>
    <w:rsid w:val="00DB4D42"/>
    <w:rsid w:val="00DC3E64"/>
    <w:rsid w:val="00DC47FD"/>
    <w:rsid w:val="00DC7BB2"/>
    <w:rsid w:val="00DD101E"/>
    <w:rsid w:val="00DD5C86"/>
    <w:rsid w:val="00DD6489"/>
    <w:rsid w:val="00DE42FE"/>
    <w:rsid w:val="00DF22C6"/>
    <w:rsid w:val="00DF232E"/>
    <w:rsid w:val="00DF255B"/>
    <w:rsid w:val="00DF2A73"/>
    <w:rsid w:val="00DF2F93"/>
    <w:rsid w:val="00E11107"/>
    <w:rsid w:val="00E13FDD"/>
    <w:rsid w:val="00E16805"/>
    <w:rsid w:val="00E16FE5"/>
    <w:rsid w:val="00E27813"/>
    <w:rsid w:val="00E30A08"/>
    <w:rsid w:val="00E41887"/>
    <w:rsid w:val="00E4251E"/>
    <w:rsid w:val="00E42842"/>
    <w:rsid w:val="00E43B4E"/>
    <w:rsid w:val="00E46105"/>
    <w:rsid w:val="00E5675A"/>
    <w:rsid w:val="00E574A8"/>
    <w:rsid w:val="00E601F0"/>
    <w:rsid w:val="00E63B98"/>
    <w:rsid w:val="00E6445D"/>
    <w:rsid w:val="00E673E5"/>
    <w:rsid w:val="00E7002F"/>
    <w:rsid w:val="00E7099B"/>
    <w:rsid w:val="00E717A6"/>
    <w:rsid w:val="00E75BA6"/>
    <w:rsid w:val="00E83D26"/>
    <w:rsid w:val="00E85F3E"/>
    <w:rsid w:val="00E90C76"/>
    <w:rsid w:val="00E913CD"/>
    <w:rsid w:val="00E91FD4"/>
    <w:rsid w:val="00E977C5"/>
    <w:rsid w:val="00EA2590"/>
    <w:rsid w:val="00EB0A06"/>
    <w:rsid w:val="00EB4DB8"/>
    <w:rsid w:val="00EB7258"/>
    <w:rsid w:val="00ED0129"/>
    <w:rsid w:val="00ED0D7A"/>
    <w:rsid w:val="00ED34A1"/>
    <w:rsid w:val="00ED7490"/>
    <w:rsid w:val="00EE2D8D"/>
    <w:rsid w:val="00EE343A"/>
    <w:rsid w:val="00EE530F"/>
    <w:rsid w:val="00EE7B5F"/>
    <w:rsid w:val="00F134EB"/>
    <w:rsid w:val="00F156E8"/>
    <w:rsid w:val="00F224BA"/>
    <w:rsid w:val="00F230F8"/>
    <w:rsid w:val="00F237FF"/>
    <w:rsid w:val="00F23929"/>
    <w:rsid w:val="00F25221"/>
    <w:rsid w:val="00F27418"/>
    <w:rsid w:val="00F303CC"/>
    <w:rsid w:val="00F36018"/>
    <w:rsid w:val="00F36659"/>
    <w:rsid w:val="00F46D6C"/>
    <w:rsid w:val="00F501EA"/>
    <w:rsid w:val="00F5179A"/>
    <w:rsid w:val="00F60FFE"/>
    <w:rsid w:val="00F61B3B"/>
    <w:rsid w:val="00F62DF9"/>
    <w:rsid w:val="00F65A83"/>
    <w:rsid w:val="00F672B8"/>
    <w:rsid w:val="00F67DE1"/>
    <w:rsid w:val="00F7581E"/>
    <w:rsid w:val="00F76BA1"/>
    <w:rsid w:val="00F81512"/>
    <w:rsid w:val="00F81621"/>
    <w:rsid w:val="00F81CCB"/>
    <w:rsid w:val="00F853FD"/>
    <w:rsid w:val="00F93268"/>
    <w:rsid w:val="00F93B45"/>
    <w:rsid w:val="00FA23E9"/>
    <w:rsid w:val="00FA2571"/>
    <w:rsid w:val="00FB0054"/>
    <w:rsid w:val="00FB58B2"/>
    <w:rsid w:val="00FB6704"/>
    <w:rsid w:val="00FB7E46"/>
    <w:rsid w:val="00FD1C1E"/>
    <w:rsid w:val="00FD1E3B"/>
    <w:rsid w:val="00FD63C6"/>
    <w:rsid w:val="00FE2A7C"/>
    <w:rsid w:val="00FE2C02"/>
    <w:rsid w:val="00FE32B8"/>
    <w:rsid w:val="00FF142C"/>
    <w:rsid w:val="00FF1A15"/>
    <w:rsid w:val="00FF1C0E"/>
    <w:rsid w:val="00FF31F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4D041"/>
  <w15:docId w15:val="{E74E6F66-B004-4202-B8DD-C644A866F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105"/>
  </w:style>
  <w:style w:type="paragraph" w:styleId="Ttulo1">
    <w:name w:val="heading 1"/>
    <w:basedOn w:val="Normal"/>
    <w:link w:val="Ttulo1Char"/>
    <w:uiPriority w:val="9"/>
    <w:qFormat/>
    <w:rsid w:val="0085080D"/>
    <w:pPr>
      <w:spacing w:after="0" w:line="360" w:lineRule="auto"/>
      <w:outlineLvl w:val="0"/>
    </w:pPr>
    <w:rPr>
      <w:rFonts w:ascii="Arial" w:eastAsia="Times New Roman" w:hAnsi="Arial" w:cs="Times New Roman"/>
      <w:b/>
      <w:bCs/>
      <w:kern w:val="36"/>
      <w:sz w:val="24"/>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932F3"/>
    <w:pPr>
      <w:ind w:left="720"/>
      <w:contextualSpacing/>
    </w:pPr>
  </w:style>
  <w:style w:type="character" w:styleId="Hyperlink">
    <w:name w:val="Hyperlink"/>
    <w:basedOn w:val="Fontepargpadro"/>
    <w:uiPriority w:val="99"/>
    <w:unhideWhenUsed/>
    <w:rsid w:val="003A05D5"/>
    <w:rPr>
      <w:color w:val="0563C1" w:themeColor="hyperlink"/>
      <w:u w:val="single"/>
    </w:rPr>
  </w:style>
  <w:style w:type="paragraph" w:styleId="NormalWeb">
    <w:name w:val="Normal (Web)"/>
    <w:basedOn w:val="Normal"/>
    <w:uiPriority w:val="99"/>
    <w:semiHidden/>
    <w:unhideWhenUsed/>
    <w:rsid w:val="004E6E2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85080D"/>
    <w:rPr>
      <w:rFonts w:ascii="Arial" w:eastAsia="Times New Roman" w:hAnsi="Arial" w:cs="Times New Roman"/>
      <w:b/>
      <w:bCs/>
      <w:kern w:val="36"/>
      <w:sz w:val="24"/>
      <w:szCs w:val="48"/>
      <w:lang w:eastAsia="pt-BR"/>
    </w:rPr>
  </w:style>
  <w:style w:type="character" w:customStyle="1" w:styleId="name">
    <w:name w:val="name"/>
    <w:basedOn w:val="Fontepargpadro"/>
    <w:rsid w:val="00031A77"/>
  </w:style>
  <w:style w:type="character" w:customStyle="1" w:styleId="contrib-role">
    <w:name w:val="contrib-role"/>
    <w:basedOn w:val="Fontepargpadro"/>
    <w:rsid w:val="00031A77"/>
  </w:style>
  <w:style w:type="character" w:customStyle="1" w:styleId="xref-aff">
    <w:name w:val="xref-aff"/>
    <w:basedOn w:val="Fontepargpadro"/>
    <w:rsid w:val="00031A77"/>
  </w:style>
  <w:style w:type="character" w:styleId="Refdecomentrio">
    <w:name w:val="annotation reference"/>
    <w:basedOn w:val="Fontepargpadro"/>
    <w:uiPriority w:val="99"/>
    <w:semiHidden/>
    <w:unhideWhenUsed/>
    <w:rsid w:val="003528C3"/>
    <w:rPr>
      <w:sz w:val="16"/>
      <w:szCs w:val="16"/>
    </w:rPr>
  </w:style>
  <w:style w:type="paragraph" w:styleId="Textodecomentrio">
    <w:name w:val="annotation text"/>
    <w:basedOn w:val="Normal"/>
    <w:link w:val="TextodecomentrioChar"/>
    <w:uiPriority w:val="99"/>
    <w:semiHidden/>
    <w:unhideWhenUsed/>
    <w:rsid w:val="003528C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528C3"/>
    <w:rPr>
      <w:sz w:val="20"/>
      <w:szCs w:val="20"/>
    </w:rPr>
  </w:style>
  <w:style w:type="paragraph" w:styleId="Assuntodocomentrio">
    <w:name w:val="annotation subject"/>
    <w:basedOn w:val="Textodecomentrio"/>
    <w:next w:val="Textodecomentrio"/>
    <w:link w:val="AssuntodocomentrioChar"/>
    <w:uiPriority w:val="99"/>
    <w:semiHidden/>
    <w:unhideWhenUsed/>
    <w:rsid w:val="003528C3"/>
    <w:rPr>
      <w:b/>
      <w:bCs/>
    </w:rPr>
  </w:style>
  <w:style w:type="character" w:customStyle="1" w:styleId="AssuntodocomentrioChar">
    <w:name w:val="Assunto do comentário Char"/>
    <w:basedOn w:val="TextodecomentrioChar"/>
    <w:link w:val="Assuntodocomentrio"/>
    <w:uiPriority w:val="99"/>
    <w:semiHidden/>
    <w:rsid w:val="003528C3"/>
    <w:rPr>
      <w:b/>
      <w:bCs/>
      <w:sz w:val="20"/>
      <w:szCs w:val="20"/>
    </w:rPr>
  </w:style>
  <w:style w:type="paragraph" w:styleId="Textodebalo">
    <w:name w:val="Balloon Text"/>
    <w:basedOn w:val="Normal"/>
    <w:link w:val="TextodebaloChar"/>
    <w:uiPriority w:val="99"/>
    <w:semiHidden/>
    <w:unhideWhenUsed/>
    <w:rsid w:val="003528C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528C3"/>
    <w:rPr>
      <w:rFonts w:ascii="Tahoma" w:hAnsi="Tahoma" w:cs="Tahoma"/>
      <w:sz w:val="16"/>
      <w:szCs w:val="16"/>
    </w:rPr>
  </w:style>
  <w:style w:type="character" w:styleId="Forte">
    <w:name w:val="Strong"/>
    <w:basedOn w:val="Fontepargpadro"/>
    <w:uiPriority w:val="22"/>
    <w:qFormat/>
    <w:rsid w:val="00E46105"/>
    <w:rPr>
      <w:b/>
      <w:bCs/>
    </w:rPr>
  </w:style>
  <w:style w:type="paragraph" w:styleId="SemEspaamento">
    <w:name w:val="No Spacing"/>
    <w:uiPriority w:val="1"/>
    <w:qFormat/>
    <w:rsid w:val="00FE2A7C"/>
    <w:pPr>
      <w:spacing w:after="0" w:line="240" w:lineRule="auto"/>
    </w:pPr>
    <w:rPr>
      <w:rFonts w:eastAsiaTheme="minorEastAsia"/>
      <w:lang w:eastAsia="pt-BR"/>
    </w:rPr>
  </w:style>
  <w:style w:type="paragraph" w:styleId="Textodenotaderodap">
    <w:name w:val="footnote text"/>
    <w:basedOn w:val="Normal"/>
    <w:link w:val="TextodenotaderodapChar"/>
    <w:uiPriority w:val="99"/>
    <w:semiHidden/>
    <w:rsid w:val="00FE2A7C"/>
    <w:pPr>
      <w:spacing w:after="0" w:line="360" w:lineRule="auto"/>
      <w:jc w:val="both"/>
    </w:pPr>
    <w:rPr>
      <w:rFonts w:ascii="Arial" w:eastAsia="Times New Roman" w:hAnsi="Arial"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FE2A7C"/>
    <w:rPr>
      <w:rFonts w:ascii="Arial" w:eastAsia="Times New Roman" w:hAnsi="Arial" w:cs="Times New Roman"/>
      <w:sz w:val="20"/>
      <w:szCs w:val="20"/>
      <w:lang w:eastAsia="pt-BR"/>
    </w:rPr>
  </w:style>
  <w:style w:type="character" w:styleId="Refdenotaderodap">
    <w:name w:val="footnote reference"/>
    <w:semiHidden/>
    <w:rsid w:val="00FE2A7C"/>
    <w:rPr>
      <w:vertAlign w:val="superscript"/>
    </w:rPr>
  </w:style>
  <w:style w:type="character" w:customStyle="1" w:styleId="shorttext">
    <w:name w:val="short_text"/>
    <w:basedOn w:val="Fontepargpadro"/>
    <w:rsid w:val="008B56B1"/>
  </w:style>
  <w:style w:type="paragraph" w:styleId="Cabealho">
    <w:name w:val="header"/>
    <w:basedOn w:val="Normal"/>
    <w:link w:val="CabealhoChar"/>
    <w:uiPriority w:val="99"/>
    <w:unhideWhenUsed/>
    <w:rsid w:val="00053F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53F70"/>
  </w:style>
  <w:style w:type="paragraph" w:styleId="Rodap">
    <w:name w:val="footer"/>
    <w:basedOn w:val="Normal"/>
    <w:link w:val="RodapChar"/>
    <w:uiPriority w:val="99"/>
    <w:unhideWhenUsed/>
    <w:rsid w:val="00053F70"/>
    <w:pPr>
      <w:tabs>
        <w:tab w:val="center" w:pos="4252"/>
        <w:tab w:val="right" w:pos="8504"/>
      </w:tabs>
      <w:spacing w:after="0" w:line="240" w:lineRule="auto"/>
    </w:pPr>
  </w:style>
  <w:style w:type="character" w:customStyle="1" w:styleId="RodapChar">
    <w:name w:val="Rodapé Char"/>
    <w:basedOn w:val="Fontepargpadro"/>
    <w:link w:val="Rodap"/>
    <w:uiPriority w:val="99"/>
    <w:rsid w:val="00053F70"/>
  </w:style>
  <w:style w:type="character" w:styleId="HiperlinkVisitado">
    <w:name w:val="FollowedHyperlink"/>
    <w:basedOn w:val="Fontepargpadro"/>
    <w:uiPriority w:val="99"/>
    <w:semiHidden/>
    <w:unhideWhenUsed/>
    <w:rsid w:val="00AB4CCD"/>
    <w:rPr>
      <w:color w:val="954F72" w:themeColor="followedHyperlink"/>
      <w:u w:val="single"/>
    </w:rPr>
  </w:style>
  <w:style w:type="paragraph" w:styleId="Pr-formataoHTML">
    <w:name w:val="HTML Preformatted"/>
    <w:basedOn w:val="Normal"/>
    <w:link w:val="Pr-formataoHTMLChar"/>
    <w:uiPriority w:val="99"/>
    <w:semiHidden/>
    <w:unhideWhenUsed/>
    <w:rsid w:val="002C3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2C34FF"/>
    <w:rPr>
      <w:rFonts w:ascii="Courier New" w:eastAsia="Times New Roman" w:hAnsi="Courier New" w:cs="Courier New"/>
      <w:sz w:val="20"/>
      <w:szCs w:val="20"/>
      <w:lang w:eastAsia="pt-BR"/>
    </w:rPr>
  </w:style>
  <w:style w:type="paragraph" w:customStyle="1" w:styleId="Default">
    <w:name w:val="Default"/>
    <w:rsid w:val="00A70462"/>
    <w:pPr>
      <w:autoSpaceDE w:val="0"/>
      <w:autoSpaceDN w:val="0"/>
      <w:adjustRightInd w:val="0"/>
      <w:spacing w:after="0" w:line="240" w:lineRule="auto"/>
    </w:pPr>
    <w:rPr>
      <w:rFonts w:ascii="Arial" w:hAnsi="Arial" w:cs="Arial"/>
      <w:color w:val="000000"/>
      <w:sz w:val="24"/>
      <w:szCs w:val="24"/>
    </w:rPr>
  </w:style>
  <w:style w:type="character" w:customStyle="1" w:styleId="A7">
    <w:name w:val="A7"/>
    <w:uiPriority w:val="99"/>
    <w:rsid w:val="00A70462"/>
    <w:rPr>
      <w:rFonts w:ascii="DXQJMF+Minion-BoldItalic" w:hAnsi="DXQJMF+Minion-BoldItalic" w:cs="DXQJMF+Minion-BoldItalic"/>
      <w:color w:val="000000"/>
      <w:sz w:val="20"/>
      <w:szCs w:val="20"/>
    </w:rPr>
  </w:style>
  <w:style w:type="paragraph" w:customStyle="1" w:styleId="Pa13">
    <w:name w:val="Pa13"/>
    <w:basedOn w:val="Default"/>
    <w:next w:val="Default"/>
    <w:uiPriority w:val="99"/>
    <w:rsid w:val="007C1A0E"/>
    <w:pPr>
      <w:spacing w:line="201" w:lineRule="atLeast"/>
    </w:pPr>
    <w:rPr>
      <w:rFonts w:ascii="OMBXKJ+Humanist777BT-BoldB" w:hAnsi="OMBXKJ+Humanist777BT-BoldB" w:cstheme="minorBidi"/>
      <w:color w:val="auto"/>
    </w:rPr>
  </w:style>
  <w:style w:type="character" w:customStyle="1" w:styleId="tlid-translation">
    <w:name w:val="tlid-translation"/>
    <w:basedOn w:val="Fontepargpadro"/>
    <w:rsid w:val="007C1A0E"/>
  </w:style>
  <w:style w:type="character" w:customStyle="1" w:styleId="st">
    <w:name w:val="st"/>
    <w:basedOn w:val="Fontepargpadro"/>
    <w:rsid w:val="007C1A0E"/>
  </w:style>
  <w:style w:type="character" w:customStyle="1" w:styleId="A2">
    <w:name w:val="A2"/>
    <w:uiPriority w:val="99"/>
    <w:rsid w:val="005841AC"/>
    <w:rPr>
      <w:rFonts w:cs="MWHLIN+Humanist777BT-RomanB"/>
      <w:color w:val="000000"/>
      <w:sz w:val="18"/>
      <w:szCs w:val="18"/>
    </w:rPr>
  </w:style>
  <w:style w:type="paragraph" w:styleId="Legenda">
    <w:name w:val="caption"/>
    <w:basedOn w:val="Normal"/>
    <w:next w:val="Normal"/>
    <w:uiPriority w:val="35"/>
    <w:unhideWhenUsed/>
    <w:qFormat/>
    <w:rsid w:val="00FB6704"/>
    <w:pPr>
      <w:spacing w:after="200" w:line="240" w:lineRule="auto"/>
    </w:pPr>
    <w:rPr>
      <w:i/>
      <w:iCs/>
      <w:color w:val="44546A" w:themeColor="text2"/>
      <w:sz w:val="18"/>
      <w:szCs w:val="18"/>
    </w:rPr>
  </w:style>
  <w:style w:type="character" w:customStyle="1" w:styleId="MenoPendente1">
    <w:name w:val="Menção Pendente1"/>
    <w:basedOn w:val="Fontepargpadro"/>
    <w:uiPriority w:val="99"/>
    <w:semiHidden/>
    <w:unhideWhenUsed/>
    <w:rsid w:val="00001C89"/>
    <w:rPr>
      <w:color w:val="605E5C"/>
      <w:shd w:val="clear" w:color="auto" w:fill="E1DFDD"/>
    </w:rPr>
  </w:style>
  <w:style w:type="paragraph" w:styleId="Reviso">
    <w:name w:val="Revision"/>
    <w:hidden/>
    <w:uiPriority w:val="99"/>
    <w:semiHidden/>
    <w:rsid w:val="00033E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14360">
      <w:bodyDiv w:val="1"/>
      <w:marLeft w:val="0"/>
      <w:marRight w:val="0"/>
      <w:marTop w:val="0"/>
      <w:marBottom w:val="0"/>
      <w:divBdr>
        <w:top w:val="none" w:sz="0" w:space="0" w:color="auto"/>
        <w:left w:val="none" w:sz="0" w:space="0" w:color="auto"/>
        <w:bottom w:val="none" w:sz="0" w:space="0" w:color="auto"/>
        <w:right w:val="none" w:sz="0" w:space="0" w:color="auto"/>
      </w:divBdr>
    </w:div>
    <w:div w:id="185365039">
      <w:bodyDiv w:val="1"/>
      <w:marLeft w:val="0"/>
      <w:marRight w:val="0"/>
      <w:marTop w:val="0"/>
      <w:marBottom w:val="0"/>
      <w:divBdr>
        <w:top w:val="none" w:sz="0" w:space="0" w:color="auto"/>
        <w:left w:val="none" w:sz="0" w:space="0" w:color="auto"/>
        <w:bottom w:val="none" w:sz="0" w:space="0" w:color="auto"/>
        <w:right w:val="none" w:sz="0" w:space="0" w:color="auto"/>
      </w:divBdr>
    </w:div>
    <w:div w:id="265381739">
      <w:bodyDiv w:val="1"/>
      <w:marLeft w:val="0"/>
      <w:marRight w:val="0"/>
      <w:marTop w:val="0"/>
      <w:marBottom w:val="0"/>
      <w:divBdr>
        <w:top w:val="none" w:sz="0" w:space="0" w:color="auto"/>
        <w:left w:val="none" w:sz="0" w:space="0" w:color="auto"/>
        <w:bottom w:val="none" w:sz="0" w:space="0" w:color="auto"/>
        <w:right w:val="none" w:sz="0" w:space="0" w:color="auto"/>
      </w:divBdr>
    </w:div>
    <w:div w:id="356783823">
      <w:bodyDiv w:val="1"/>
      <w:marLeft w:val="0"/>
      <w:marRight w:val="0"/>
      <w:marTop w:val="0"/>
      <w:marBottom w:val="0"/>
      <w:divBdr>
        <w:top w:val="none" w:sz="0" w:space="0" w:color="auto"/>
        <w:left w:val="none" w:sz="0" w:space="0" w:color="auto"/>
        <w:bottom w:val="none" w:sz="0" w:space="0" w:color="auto"/>
        <w:right w:val="none" w:sz="0" w:space="0" w:color="auto"/>
      </w:divBdr>
    </w:div>
    <w:div w:id="432630747">
      <w:bodyDiv w:val="1"/>
      <w:marLeft w:val="0"/>
      <w:marRight w:val="0"/>
      <w:marTop w:val="0"/>
      <w:marBottom w:val="0"/>
      <w:divBdr>
        <w:top w:val="none" w:sz="0" w:space="0" w:color="auto"/>
        <w:left w:val="none" w:sz="0" w:space="0" w:color="auto"/>
        <w:bottom w:val="none" w:sz="0" w:space="0" w:color="auto"/>
        <w:right w:val="none" w:sz="0" w:space="0" w:color="auto"/>
      </w:divBdr>
    </w:div>
    <w:div w:id="456870828">
      <w:bodyDiv w:val="1"/>
      <w:marLeft w:val="0"/>
      <w:marRight w:val="0"/>
      <w:marTop w:val="0"/>
      <w:marBottom w:val="0"/>
      <w:divBdr>
        <w:top w:val="none" w:sz="0" w:space="0" w:color="auto"/>
        <w:left w:val="none" w:sz="0" w:space="0" w:color="auto"/>
        <w:bottom w:val="none" w:sz="0" w:space="0" w:color="auto"/>
        <w:right w:val="none" w:sz="0" w:space="0" w:color="auto"/>
      </w:divBdr>
      <w:divsChild>
        <w:div w:id="648288290">
          <w:marLeft w:val="0"/>
          <w:marRight w:val="0"/>
          <w:marTop w:val="0"/>
          <w:marBottom w:val="0"/>
          <w:divBdr>
            <w:top w:val="none" w:sz="0" w:space="0" w:color="auto"/>
            <w:left w:val="none" w:sz="0" w:space="0" w:color="auto"/>
            <w:bottom w:val="none" w:sz="0" w:space="0" w:color="auto"/>
            <w:right w:val="none" w:sz="0" w:space="0" w:color="auto"/>
          </w:divBdr>
        </w:div>
        <w:div w:id="1189248900">
          <w:marLeft w:val="0"/>
          <w:marRight w:val="0"/>
          <w:marTop w:val="0"/>
          <w:marBottom w:val="0"/>
          <w:divBdr>
            <w:top w:val="none" w:sz="0" w:space="0" w:color="auto"/>
            <w:left w:val="none" w:sz="0" w:space="0" w:color="auto"/>
            <w:bottom w:val="none" w:sz="0" w:space="0" w:color="auto"/>
            <w:right w:val="none" w:sz="0" w:space="0" w:color="auto"/>
          </w:divBdr>
          <w:divsChild>
            <w:div w:id="317656056">
              <w:marLeft w:val="0"/>
              <w:marRight w:val="0"/>
              <w:marTop w:val="0"/>
              <w:marBottom w:val="0"/>
              <w:divBdr>
                <w:top w:val="none" w:sz="0" w:space="0" w:color="auto"/>
                <w:left w:val="none" w:sz="0" w:space="0" w:color="auto"/>
                <w:bottom w:val="none" w:sz="0" w:space="0" w:color="auto"/>
                <w:right w:val="none" w:sz="0" w:space="0" w:color="auto"/>
              </w:divBdr>
              <w:divsChild>
                <w:div w:id="1345862580">
                  <w:marLeft w:val="0"/>
                  <w:marRight w:val="0"/>
                  <w:marTop w:val="0"/>
                  <w:marBottom w:val="0"/>
                  <w:divBdr>
                    <w:top w:val="none" w:sz="0" w:space="0" w:color="auto"/>
                    <w:left w:val="none" w:sz="0" w:space="0" w:color="auto"/>
                    <w:bottom w:val="none" w:sz="0" w:space="0" w:color="auto"/>
                    <w:right w:val="none" w:sz="0" w:space="0" w:color="auto"/>
                  </w:divBdr>
                  <w:divsChild>
                    <w:div w:id="457650411">
                      <w:marLeft w:val="0"/>
                      <w:marRight w:val="0"/>
                      <w:marTop w:val="0"/>
                      <w:marBottom w:val="0"/>
                      <w:divBdr>
                        <w:top w:val="none" w:sz="0" w:space="0" w:color="auto"/>
                        <w:left w:val="none" w:sz="0" w:space="0" w:color="auto"/>
                        <w:bottom w:val="none" w:sz="0" w:space="0" w:color="auto"/>
                        <w:right w:val="none" w:sz="0" w:space="0" w:color="auto"/>
                      </w:divBdr>
                      <w:divsChild>
                        <w:div w:id="150755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549520">
          <w:marLeft w:val="0"/>
          <w:marRight w:val="0"/>
          <w:marTop w:val="0"/>
          <w:marBottom w:val="0"/>
          <w:divBdr>
            <w:top w:val="none" w:sz="0" w:space="0" w:color="auto"/>
            <w:left w:val="none" w:sz="0" w:space="0" w:color="auto"/>
            <w:bottom w:val="none" w:sz="0" w:space="0" w:color="auto"/>
            <w:right w:val="none" w:sz="0" w:space="0" w:color="auto"/>
          </w:divBdr>
          <w:divsChild>
            <w:div w:id="1329745278">
              <w:marLeft w:val="0"/>
              <w:marRight w:val="0"/>
              <w:marTop w:val="0"/>
              <w:marBottom w:val="0"/>
              <w:divBdr>
                <w:top w:val="none" w:sz="0" w:space="0" w:color="auto"/>
                <w:left w:val="none" w:sz="0" w:space="0" w:color="auto"/>
                <w:bottom w:val="none" w:sz="0" w:space="0" w:color="auto"/>
                <w:right w:val="none" w:sz="0" w:space="0" w:color="auto"/>
              </w:divBdr>
              <w:divsChild>
                <w:div w:id="51464299">
                  <w:marLeft w:val="0"/>
                  <w:marRight w:val="0"/>
                  <w:marTop w:val="0"/>
                  <w:marBottom w:val="0"/>
                  <w:divBdr>
                    <w:top w:val="none" w:sz="0" w:space="0" w:color="auto"/>
                    <w:left w:val="none" w:sz="0" w:space="0" w:color="auto"/>
                    <w:bottom w:val="none" w:sz="0" w:space="0" w:color="auto"/>
                    <w:right w:val="none" w:sz="0" w:space="0" w:color="auto"/>
                  </w:divBdr>
                  <w:divsChild>
                    <w:div w:id="338628379">
                      <w:marLeft w:val="0"/>
                      <w:marRight w:val="0"/>
                      <w:marTop w:val="0"/>
                      <w:marBottom w:val="0"/>
                      <w:divBdr>
                        <w:top w:val="none" w:sz="0" w:space="0" w:color="auto"/>
                        <w:left w:val="none" w:sz="0" w:space="0" w:color="auto"/>
                        <w:bottom w:val="none" w:sz="0" w:space="0" w:color="auto"/>
                        <w:right w:val="none" w:sz="0" w:space="0" w:color="auto"/>
                      </w:divBdr>
                      <w:divsChild>
                        <w:div w:id="1887179951">
                          <w:marLeft w:val="0"/>
                          <w:marRight w:val="0"/>
                          <w:marTop w:val="0"/>
                          <w:marBottom w:val="0"/>
                          <w:divBdr>
                            <w:top w:val="none" w:sz="0" w:space="0" w:color="auto"/>
                            <w:left w:val="none" w:sz="0" w:space="0" w:color="auto"/>
                            <w:bottom w:val="none" w:sz="0" w:space="0" w:color="auto"/>
                            <w:right w:val="none" w:sz="0" w:space="0" w:color="auto"/>
                          </w:divBdr>
                          <w:divsChild>
                            <w:div w:id="161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232456">
      <w:bodyDiv w:val="1"/>
      <w:marLeft w:val="0"/>
      <w:marRight w:val="0"/>
      <w:marTop w:val="0"/>
      <w:marBottom w:val="0"/>
      <w:divBdr>
        <w:top w:val="none" w:sz="0" w:space="0" w:color="auto"/>
        <w:left w:val="none" w:sz="0" w:space="0" w:color="auto"/>
        <w:bottom w:val="none" w:sz="0" w:space="0" w:color="auto"/>
        <w:right w:val="none" w:sz="0" w:space="0" w:color="auto"/>
      </w:divBdr>
    </w:div>
    <w:div w:id="556475059">
      <w:bodyDiv w:val="1"/>
      <w:marLeft w:val="0"/>
      <w:marRight w:val="0"/>
      <w:marTop w:val="0"/>
      <w:marBottom w:val="0"/>
      <w:divBdr>
        <w:top w:val="none" w:sz="0" w:space="0" w:color="auto"/>
        <w:left w:val="none" w:sz="0" w:space="0" w:color="auto"/>
        <w:bottom w:val="none" w:sz="0" w:space="0" w:color="auto"/>
        <w:right w:val="none" w:sz="0" w:space="0" w:color="auto"/>
      </w:divBdr>
    </w:div>
    <w:div w:id="560871036">
      <w:bodyDiv w:val="1"/>
      <w:marLeft w:val="0"/>
      <w:marRight w:val="0"/>
      <w:marTop w:val="0"/>
      <w:marBottom w:val="0"/>
      <w:divBdr>
        <w:top w:val="none" w:sz="0" w:space="0" w:color="auto"/>
        <w:left w:val="none" w:sz="0" w:space="0" w:color="auto"/>
        <w:bottom w:val="none" w:sz="0" w:space="0" w:color="auto"/>
        <w:right w:val="none" w:sz="0" w:space="0" w:color="auto"/>
      </w:divBdr>
    </w:div>
    <w:div w:id="610286747">
      <w:bodyDiv w:val="1"/>
      <w:marLeft w:val="0"/>
      <w:marRight w:val="0"/>
      <w:marTop w:val="0"/>
      <w:marBottom w:val="0"/>
      <w:divBdr>
        <w:top w:val="none" w:sz="0" w:space="0" w:color="auto"/>
        <w:left w:val="none" w:sz="0" w:space="0" w:color="auto"/>
        <w:bottom w:val="none" w:sz="0" w:space="0" w:color="auto"/>
        <w:right w:val="none" w:sz="0" w:space="0" w:color="auto"/>
      </w:divBdr>
      <w:divsChild>
        <w:div w:id="2116174838">
          <w:marLeft w:val="0"/>
          <w:marRight w:val="0"/>
          <w:marTop w:val="0"/>
          <w:marBottom w:val="0"/>
          <w:divBdr>
            <w:top w:val="none" w:sz="0" w:space="0" w:color="auto"/>
            <w:left w:val="none" w:sz="0" w:space="0" w:color="auto"/>
            <w:bottom w:val="none" w:sz="0" w:space="0" w:color="auto"/>
            <w:right w:val="none" w:sz="0" w:space="0" w:color="auto"/>
          </w:divBdr>
        </w:div>
      </w:divsChild>
    </w:div>
    <w:div w:id="765616856">
      <w:bodyDiv w:val="1"/>
      <w:marLeft w:val="0"/>
      <w:marRight w:val="0"/>
      <w:marTop w:val="0"/>
      <w:marBottom w:val="0"/>
      <w:divBdr>
        <w:top w:val="none" w:sz="0" w:space="0" w:color="auto"/>
        <w:left w:val="none" w:sz="0" w:space="0" w:color="auto"/>
        <w:bottom w:val="none" w:sz="0" w:space="0" w:color="auto"/>
        <w:right w:val="none" w:sz="0" w:space="0" w:color="auto"/>
      </w:divBdr>
    </w:div>
    <w:div w:id="1081217369">
      <w:bodyDiv w:val="1"/>
      <w:marLeft w:val="0"/>
      <w:marRight w:val="0"/>
      <w:marTop w:val="0"/>
      <w:marBottom w:val="0"/>
      <w:divBdr>
        <w:top w:val="none" w:sz="0" w:space="0" w:color="auto"/>
        <w:left w:val="none" w:sz="0" w:space="0" w:color="auto"/>
        <w:bottom w:val="none" w:sz="0" w:space="0" w:color="auto"/>
        <w:right w:val="none" w:sz="0" w:space="0" w:color="auto"/>
      </w:divBdr>
    </w:div>
    <w:div w:id="1324550653">
      <w:bodyDiv w:val="1"/>
      <w:marLeft w:val="0"/>
      <w:marRight w:val="0"/>
      <w:marTop w:val="0"/>
      <w:marBottom w:val="0"/>
      <w:divBdr>
        <w:top w:val="none" w:sz="0" w:space="0" w:color="auto"/>
        <w:left w:val="none" w:sz="0" w:space="0" w:color="auto"/>
        <w:bottom w:val="none" w:sz="0" w:space="0" w:color="auto"/>
        <w:right w:val="none" w:sz="0" w:space="0" w:color="auto"/>
      </w:divBdr>
    </w:div>
    <w:div w:id="1403286865">
      <w:bodyDiv w:val="1"/>
      <w:marLeft w:val="0"/>
      <w:marRight w:val="0"/>
      <w:marTop w:val="0"/>
      <w:marBottom w:val="0"/>
      <w:divBdr>
        <w:top w:val="none" w:sz="0" w:space="0" w:color="auto"/>
        <w:left w:val="none" w:sz="0" w:space="0" w:color="auto"/>
        <w:bottom w:val="none" w:sz="0" w:space="0" w:color="auto"/>
        <w:right w:val="none" w:sz="0" w:space="0" w:color="auto"/>
      </w:divBdr>
    </w:div>
    <w:div w:id="1432235530">
      <w:bodyDiv w:val="1"/>
      <w:marLeft w:val="0"/>
      <w:marRight w:val="0"/>
      <w:marTop w:val="0"/>
      <w:marBottom w:val="0"/>
      <w:divBdr>
        <w:top w:val="none" w:sz="0" w:space="0" w:color="auto"/>
        <w:left w:val="none" w:sz="0" w:space="0" w:color="auto"/>
        <w:bottom w:val="none" w:sz="0" w:space="0" w:color="auto"/>
        <w:right w:val="none" w:sz="0" w:space="0" w:color="auto"/>
      </w:divBdr>
    </w:div>
    <w:div w:id="1473788161">
      <w:bodyDiv w:val="1"/>
      <w:marLeft w:val="0"/>
      <w:marRight w:val="0"/>
      <w:marTop w:val="0"/>
      <w:marBottom w:val="0"/>
      <w:divBdr>
        <w:top w:val="none" w:sz="0" w:space="0" w:color="auto"/>
        <w:left w:val="none" w:sz="0" w:space="0" w:color="auto"/>
        <w:bottom w:val="none" w:sz="0" w:space="0" w:color="auto"/>
        <w:right w:val="none" w:sz="0" w:space="0" w:color="auto"/>
      </w:divBdr>
    </w:div>
    <w:div w:id="1810201725">
      <w:bodyDiv w:val="1"/>
      <w:marLeft w:val="0"/>
      <w:marRight w:val="0"/>
      <w:marTop w:val="0"/>
      <w:marBottom w:val="0"/>
      <w:divBdr>
        <w:top w:val="none" w:sz="0" w:space="0" w:color="auto"/>
        <w:left w:val="none" w:sz="0" w:space="0" w:color="auto"/>
        <w:bottom w:val="none" w:sz="0" w:space="0" w:color="auto"/>
        <w:right w:val="none" w:sz="0" w:space="0" w:color="auto"/>
      </w:divBdr>
      <w:divsChild>
        <w:div w:id="1767774349">
          <w:marLeft w:val="0"/>
          <w:marRight w:val="0"/>
          <w:marTop w:val="0"/>
          <w:marBottom w:val="0"/>
          <w:divBdr>
            <w:top w:val="none" w:sz="0" w:space="0" w:color="auto"/>
            <w:left w:val="none" w:sz="0" w:space="0" w:color="auto"/>
            <w:bottom w:val="none" w:sz="0" w:space="0" w:color="auto"/>
            <w:right w:val="none" w:sz="0" w:space="0" w:color="auto"/>
          </w:divBdr>
        </w:div>
      </w:divsChild>
    </w:div>
    <w:div w:id="193805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rabalho.gov.br/images/Documentos/SST/NR/NR32.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CA87A-BC5F-470C-AA39-C96697272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22</Pages>
  <Words>4683</Words>
  <Characters>25294</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Particular</dc:creator>
  <cp:lastModifiedBy>Samsung</cp:lastModifiedBy>
  <cp:revision>6</cp:revision>
  <cp:lastPrinted>2018-08-29T14:10:00Z</cp:lastPrinted>
  <dcterms:created xsi:type="dcterms:W3CDTF">2020-11-05T15:29:00Z</dcterms:created>
  <dcterms:modified xsi:type="dcterms:W3CDTF">2020-12-01T11:00:00Z</dcterms:modified>
</cp:coreProperties>
</file>